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right"/>
        <w:rPr>
          <w:szCs w:val="28"/>
        </w:rPr>
      </w:pPr>
      <w:bookmarkStart w:id="0" w:name="_Toc15853"/>
      <w:bookmarkStart w:id="1" w:name="_Toc26547"/>
      <w:r>
        <w:rPr>
          <w:rFonts w:hint="eastAsia"/>
          <w:szCs w:val="28"/>
        </w:rPr>
        <w:t>版本号：202</w:t>
      </w:r>
      <w:r>
        <w:rPr>
          <w:rFonts w:hint="eastAsia"/>
          <w:szCs w:val="28"/>
          <w:lang w:val="en-US" w:eastAsia="zh-CN"/>
        </w:rPr>
        <w:t>3</w:t>
      </w:r>
      <w:r>
        <w:rPr>
          <w:rFonts w:hint="eastAsia"/>
          <w:szCs w:val="28"/>
        </w:rPr>
        <w:t>第</w:t>
      </w:r>
      <w:r>
        <w:rPr>
          <w:rFonts w:hint="eastAsia"/>
          <w:szCs w:val="28"/>
          <w:lang w:val="en-US" w:eastAsia="zh-CN"/>
        </w:rPr>
        <w:t>三</w:t>
      </w:r>
      <w:r>
        <w:rPr>
          <w:rFonts w:hint="eastAsia"/>
          <w:szCs w:val="28"/>
        </w:rPr>
        <w:t>版</w:t>
      </w:r>
    </w:p>
    <w:p>
      <w:pPr>
        <w:snapToGrid w:val="0"/>
        <w:spacing w:line="360" w:lineRule="auto"/>
        <w:jc w:val="center"/>
        <w:rPr>
          <w:szCs w:val="28"/>
        </w:rPr>
      </w:pPr>
    </w:p>
    <w:p>
      <w:pPr>
        <w:snapToGrid w:val="0"/>
        <w:spacing w:line="360" w:lineRule="auto"/>
        <w:jc w:val="center"/>
        <w:rPr>
          <w:szCs w:val="28"/>
        </w:rPr>
      </w:pPr>
    </w:p>
    <w:p>
      <w:pPr>
        <w:snapToGrid w:val="0"/>
        <w:spacing w:line="360" w:lineRule="auto"/>
        <w:jc w:val="center"/>
        <w:rPr>
          <w:szCs w:val="28"/>
        </w:rPr>
      </w:pPr>
    </w:p>
    <w:p>
      <w:pPr>
        <w:snapToGrid w:val="0"/>
        <w:spacing w:line="360" w:lineRule="auto"/>
        <w:jc w:val="center"/>
        <w:rPr>
          <w:szCs w:val="28"/>
        </w:rPr>
      </w:pPr>
    </w:p>
    <w:p>
      <w:pPr>
        <w:adjustRightInd w:val="0"/>
        <w:snapToGrid w:val="0"/>
        <w:spacing w:line="360" w:lineRule="auto"/>
        <w:ind w:left="0" w:leftChars="0" w:firstLine="0" w:firstLineChars="0"/>
        <w:jc w:val="center"/>
        <w:outlineLvl w:val="0"/>
        <w:rPr>
          <w:rFonts w:hint="eastAsia" w:eastAsia="宋体"/>
          <w:b/>
          <w:bCs/>
          <w:sz w:val="44"/>
          <w:szCs w:val="52"/>
          <w:lang w:eastAsia="zh-CN"/>
        </w:rPr>
      </w:pPr>
      <w:bookmarkStart w:id="2" w:name="_Toc3695"/>
      <w:r>
        <w:rPr>
          <w:rFonts w:hint="eastAsia"/>
          <w:b/>
          <w:bCs/>
          <w:sz w:val="44"/>
          <w:szCs w:val="52"/>
          <w:lang w:val="en-US" w:eastAsia="zh-CN"/>
        </w:rPr>
        <w:t>江西辙炜新材料科技科技股份有限公司</w:t>
      </w:r>
    </w:p>
    <w:p>
      <w:pPr>
        <w:adjustRightInd w:val="0"/>
        <w:snapToGrid w:val="0"/>
        <w:spacing w:line="360" w:lineRule="auto"/>
        <w:ind w:left="0" w:leftChars="0" w:firstLine="0" w:firstLineChars="0"/>
        <w:jc w:val="center"/>
        <w:outlineLvl w:val="0"/>
        <w:rPr>
          <w:b/>
          <w:sz w:val="40"/>
          <w:szCs w:val="48"/>
        </w:rPr>
      </w:pPr>
      <w:r>
        <w:rPr>
          <w:b/>
          <w:sz w:val="44"/>
          <w:szCs w:val="52"/>
        </w:rPr>
        <w:t>突发环境事件应急预案编制说明</w:t>
      </w:r>
      <w:bookmarkEnd w:id="2"/>
    </w:p>
    <w:p>
      <w:pPr>
        <w:snapToGrid w:val="0"/>
        <w:spacing w:line="360" w:lineRule="auto"/>
        <w:jc w:val="center"/>
        <w:rPr>
          <w:sz w:val="48"/>
          <w:szCs w:val="48"/>
        </w:rPr>
      </w:pPr>
    </w:p>
    <w:p>
      <w:pPr>
        <w:snapToGrid w:val="0"/>
        <w:spacing w:line="360" w:lineRule="auto"/>
        <w:jc w:val="center"/>
        <w:rPr>
          <w:sz w:val="48"/>
          <w:szCs w:val="48"/>
        </w:rPr>
      </w:pPr>
    </w:p>
    <w:p>
      <w:pPr>
        <w:pStyle w:val="7"/>
        <w:snapToGrid w:val="0"/>
        <w:spacing w:after="0" w:line="360" w:lineRule="auto"/>
        <w:ind w:firstLine="300"/>
      </w:pPr>
    </w:p>
    <w:p>
      <w:pPr>
        <w:snapToGrid w:val="0"/>
        <w:spacing w:line="360" w:lineRule="auto"/>
      </w:pPr>
    </w:p>
    <w:p>
      <w:pPr>
        <w:snapToGrid w:val="0"/>
        <w:spacing w:line="360" w:lineRule="auto"/>
        <w:jc w:val="center"/>
        <w:rPr>
          <w:sz w:val="48"/>
          <w:szCs w:val="48"/>
        </w:rPr>
      </w:pPr>
    </w:p>
    <w:p>
      <w:pPr>
        <w:snapToGrid w:val="0"/>
        <w:spacing w:line="360" w:lineRule="auto"/>
        <w:jc w:val="center"/>
        <w:rPr>
          <w:sz w:val="48"/>
          <w:szCs w:val="48"/>
        </w:rPr>
      </w:pPr>
    </w:p>
    <w:p>
      <w:pPr>
        <w:snapToGrid w:val="0"/>
        <w:spacing w:line="360" w:lineRule="auto"/>
        <w:jc w:val="center"/>
        <w:rPr>
          <w:sz w:val="48"/>
          <w:szCs w:val="48"/>
        </w:rPr>
      </w:pPr>
    </w:p>
    <w:p>
      <w:pPr>
        <w:snapToGrid w:val="0"/>
        <w:spacing w:line="360" w:lineRule="auto"/>
        <w:jc w:val="center"/>
        <w:rPr>
          <w:sz w:val="48"/>
          <w:szCs w:val="48"/>
        </w:rPr>
      </w:pPr>
    </w:p>
    <w:p>
      <w:pPr>
        <w:snapToGrid w:val="0"/>
        <w:spacing w:line="360" w:lineRule="auto"/>
        <w:jc w:val="center"/>
        <w:rPr>
          <w:sz w:val="48"/>
          <w:szCs w:val="48"/>
        </w:rPr>
      </w:pPr>
    </w:p>
    <w:p>
      <w:pPr>
        <w:snapToGrid w:val="0"/>
        <w:spacing w:line="360" w:lineRule="auto"/>
        <w:rPr>
          <w:sz w:val="44"/>
          <w:szCs w:val="44"/>
        </w:rPr>
      </w:pPr>
    </w:p>
    <w:p>
      <w:pPr>
        <w:snapToGrid w:val="0"/>
        <w:spacing w:line="360" w:lineRule="auto"/>
        <w:jc w:val="center"/>
        <w:rPr>
          <w:b/>
          <w:bCs/>
          <w:sz w:val="36"/>
          <w:szCs w:val="36"/>
        </w:rPr>
      </w:pPr>
    </w:p>
    <w:p>
      <w:pPr>
        <w:snapToGrid w:val="0"/>
        <w:spacing w:line="360" w:lineRule="auto"/>
        <w:jc w:val="center"/>
        <w:rPr>
          <w:b/>
          <w:bCs/>
          <w:sz w:val="36"/>
          <w:szCs w:val="36"/>
        </w:rPr>
      </w:pPr>
    </w:p>
    <w:p>
      <w:pPr>
        <w:snapToGrid w:val="0"/>
        <w:spacing w:line="360" w:lineRule="auto"/>
        <w:jc w:val="center"/>
        <w:rPr>
          <w:b/>
          <w:bCs/>
          <w:sz w:val="32"/>
          <w:szCs w:val="36"/>
        </w:rPr>
      </w:pPr>
      <w:r>
        <w:rPr>
          <w:rFonts w:hint="eastAsia"/>
          <w:b/>
          <w:bCs/>
          <w:sz w:val="32"/>
          <w:szCs w:val="36"/>
        </w:rPr>
        <w:t xml:space="preserve"> 二〇二</w:t>
      </w:r>
      <w:r>
        <w:rPr>
          <w:rFonts w:hint="eastAsia"/>
          <w:b/>
          <w:bCs/>
          <w:sz w:val="32"/>
          <w:szCs w:val="36"/>
          <w:lang w:val="en-US" w:eastAsia="zh-CN"/>
        </w:rPr>
        <w:t>三</w:t>
      </w:r>
      <w:r>
        <w:rPr>
          <w:b/>
          <w:bCs/>
          <w:sz w:val="32"/>
          <w:szCs w:val="36"/>
        </w:rPr>
        <w:t>年</w:t>
      </w:r>
      <w:r>
        <w:rPr>
          <w:rFonts w:hint="eastAsia"/>
          <w:b/>
          <w:bCs/>
          <w:sz w:val="32"/>
          <w:szCs w:val="36"/>
          <w:lang w:val="en-US" w:eastAsia="zh-CN"/>
        </w:rPr>
        <w:t>十二</w:t>
      </w:r>
      <w:r>
        <w:rPr>
          <w:b/>
          <w:bCs/>
          <w:sz w:val="32"/>
          <w:szCs w:val="36"/>
        </w:rPr>
        <w:t>月</w:t>
      </w:r>
    </w:p>
    <w:p>
      <w:pPr>
        <w:autoSpaceDE w:val="0"/>
        <w:autoSpaceDN w:val="0"/>
        <w:adjustRightInd w:val="0"/>
        <w:snapToGrid w:val="0"/>
        <w:spacing w:line="360" w:lineRule="auto"/>
        <w:jc w:val="left"/>
        <w:outlineLvl w:val="0"/>
        <w:rPr>
          <w:b/>
          <w:kern w:val="0"/>
          <w:sz w:val="28"/>
          <w:szCs w:val="28"/>
        </w:rPr>
        <w:sectPr>
          <w:headerReference r:id="rId6" w:type="first"/>
          <w:headerReference r:id="rId5" w:type="default"/>
          <w:footerReference r:id="rId7" w:type="even"/>
          <w:pgSz w:w="11906" w:h="16838"/>
          <w:pgMar w:top="1440" w:right="1800" w:bottom="1440" w:left="1800" w:header="851" w:footer="992" w:gutter="0"/>
          <w:pgNumType w:start="0"/>
          <w:cols w:space="720" w:num="1"/>
          <w:titlePg/>
          <w:docGrid w:type="lines" w:linePitch="312" w:charSpace="0"/>
        </w:sectPr>
      </w:pPr>
    </w:p>
    <w:p>
      <w:pPr>
        <w:autoSpaceDE w:val="0"/>
        <w:autoSpaceDN w:val="0"/>
        <w:adjustRightInd w:val="0"/>
        <w:snapToGrid w:val="0"/>
        <w:spacing w:line="360" w:lineRule="auto"/>
        <w:jc w:val="left"/>
        <w:outlineLvl w:val="0"/>
        <w:rPr>
          <w:b/>
          <w:kern w:val="0"/>
          <w:sz w:val="28"/>
          <w:szCs w:val="28"/>
        </w:rPr>
        <w:sectPr>
          <w:pgSz w:w="11906" w:h="16838"/>
          <w:pgMar w:top="1440" w:right="1800" w:bottom="1440" w:left="1800" w:header="851" w:footer="992" w:gutter="0"/>
          <w:pgNumType w:start="0"/>
          <w:cols w:space="720" w:num="1"/>
          <w:titlePg/>
          <w:docGrid w:type="lines" w:linePitch="312" w:charSpace="0"/>
        </w:sectPr>
      </w:pPr>
    </w:p>
    <w:p>
      <w:pPr>
        <w:pStyle w:val="12"/>
        <w:ind w:firstLine="0" w:firstLineChars="0"/>
        <w:jc w:val="center"/>
        <w:outlineLvl w:val="0"/>
        <w:rPr>
          <w:rFonts w:cs="Times New Roman"/>
          <w:b/>
          <w:color w:val="000000" w:themeColor="text1"/>
          <w:sz w:val="36"/>
          <w:lang w:bidi="ar"/>
          <w14:textFill>
            <w14:solidFill>
              <w14:schemeClr w14:val="tx1"/>
            </w14:solidFill>
          </w14:textFill>
        </w:rPr>
      </w:pPr>
      <w:r>
        <w:rPr>
          <w:rFonts w:cs="Times New Roman"/>
          <w:b/>
          <w:color w:val="000000" w:themeColor="text1"/>
          <w:sz w:val="36"/>
          <w:lang w:bidi="ar"/>
          <w14:textFill>
            <w14:solidFill>
              <w14:schemeClr w14:val="tx1"/>
            </w14:solidFill>
          </w14:textFill>
        </w:rPr>
        <w:t>编制说明</w:t>
      </w:r>
      <w:bookmarkEnd w:id="0"/>
      <w:bookmarkEnd w:id="1"/>
    </w:p>
    <w:p>
      <w:pPr>
        <w:autoSpaceDE w:val="0"/>
        <w:autoSpaceDN w:val="0"/>
        <w:adjustRightInd w:val="0"/>
        <w:snapToGrid w:val="0"/>
        <w:spacing w:line="360" w:lineRule="auto"/>
        <w:ind w:left="0" w:leftChars="0" w:firstLine="0" w:firstLineChars="0"/>
        <w:jc w:val="left"/>
        <w:outlineLvl w:val="0"/>
        <w:rPr>
          <w:b/>
          <w:kern w:val="0"/>
          <w:sz w:val="28"/>
          <w:szCs w:val="28"/>
        </w:rPr>
      </w:pPr>
      <w:bookmarkStart w:id="3" w:name="_Toc25799"/>
      <w:bookmarkStart w:id="4" w:name="_Toc88665942"/>
      <w:bookmarkStart w:id="5" w:name="_Toc77619992"/>
      <w:bookmarkStart w:id="6" w:name="_Toc1487"/>
      <w:bookmarkStart w:id="7" w:name="_Toc430095127"/>
      <w:r>
        <w:rPr>
          <w:b/>
          <w:kern w:val="0"/>
          <w:sz w:val="28"/>
          <w:szCs w:val="28"/>
        </w:rPr>
        <w:t>一、预案编制目的</w:t>
      </w:r>
      <w:bookmarkEnd w:id="3"/>
      <w:bookmarkEnd w:id="4"/>
    </w:p>
    <w:p>
      <w:pPr>
        <w:autoSpaceDE w:val="0"/>
        <w:autoSpaceDN w:val="0"/>
        <w:adjustRightInd w:val="0"/>
        <w:snapToGrid w:val="0"/>
        <w:spacing w:line="360" w:lineRule="auto"/>
        <w:ind w:firstLine="480" w:firstLineChars="200"/>
        <w:jc w:val="left"/>
        <w:rPr>
          <w:rFonts w:hint="eastAsia" w:ascii="Times New Roman" w:hAnsi="Times New Roman" w:eastAsia="宋体" w:cs="Times New Roman"/>
          <w:kern w:val="0"/>
          <w:sz w:val="24"/>
          <w:lang w:eastAsia="zh-CN"/>
        </w:rPr>
      </w:pPr>
      <w:r>
        <w:rPr>
          <w:rFonts w:hint="eastAsia" w:ascii="Times New Roman" w:hAnsi="Times New Roman" w:eastAsia="宋体" w:cs="Times New Roman"/>
          <w:kern w:val="0"/>
          <w:sz w:val="24"/>
          <w:lang w:eastAsia="zh-CN"/>
        </w:rPr>
        <w:t>突发环境事件应急预案是我公司为规范安全生产事件的应急管理和应急响应程序，建立健全环境应急预案，提高公司应对突发环境污染事件的能力，及时有效地实施应急救援工作。依据国家相关法律、法规，结合公司实际情况制定《</w:t>
      </w:r>
      <w:r>
        <w:rPr>
          <w:rFonts w:hint="eastAsia" w:cs="Times New Roman"/>
          <w:kern w:val="0"/>
          <w:sz w:val="24"/>
          <w:lang w:val="en-US" w:eastAsia="zh-CN"/>
        </w:rPr>
        <w:t>江西辙炜新材料科技股份</w:t>
      </w:r>
      <w:r>
        <w:rPr>
          <w:rFonts w:hint="eastAsia" w:ascii="Times New Roman" w:hAnsi="Times New Roman" w:eastAsia="宋体" w:cs="Times New Roman"/>
          <w:kern w:val="0"/>
          <w:sz w:val="24"/>
          <w:lang w:eastAsia="zh-CN"/>
        </w:rPr>
        <w:t>有限公司突发环境事件应急预案》（</w:t>
      </w:r>
      <w:r>
        <w:rPr>
          <w:rFonts w:hint="eastAsia" w:ascii="Times New Roman" w:hAnsi="Times New Roman" w:eastAsia="宋体" w:cs="Times New Roman"/>
          <w:kern w:val="0"/>
          <w:sz w:val="24"/>
          <w:lang w:val="en-US" w:eastAsia="zh-CN"/>
        </w:rPr>
        <w:t>202</w:t>
      </w:r>
      <w:r>
        <w:rPr>
          <w:rFonts w:hint="eastAsia" w:cs="Times New Roman"/>
          <w:kern w:val="0"/>
          <w:sz w:val="24"/>
          <w:lang w:val="en-US" w:eastAsia="zh-CN"/>
        </w:rPr>
        <w:t>3</w:t>
      </w:r>
      <w:r>
        <w:rPr>
          <w:rFonts w:hint="eastAsia" w:ascii="Times New Roman" w:hAnsi="Times New Roman" w:eastAsia="宋体" w:cs="Times New Roman"/>
          <w:kern w:val="0"/>
          <w:sz w:val="24"/>
          <w:lang w:val="en-US" w:eastAsia="zh-CN"/>
        </w:rPr>
        <w:t>第</w:t>
      </w:r>
      <w:r>
        <w:rPr>
          <w:rFonts w:hint="eastAsia" w:cs="Times New Roman"/>
          <w:kern w:val="0"/>
          <w:sz w:val="24"/>
          <w:lang w:val="en-US" w:eastAsia="zh-CN"/>
        </w:rPr>
        <w:t>三</w:t>
      </w:r>
      <w:r>
        <w:rPr>
          <w:rFonts w:hint="eastAsia" w:ascii="Times New Roman" w:hAnsi="Times New Roman" w:eastAsia="宋体" w:cs="Times New Roman"/>
          <w:kern w:val="0"/>
          <w:sz w:val="24"/>
          <w:lang w:val="en-US" w:eastAsia="zh-CN"/>
        </w:rPr>
        <w:t>版</w:t>
      </w:r>
      <w:r>
        <w:rPr>
          <w:rFonts w:hint="eastAsia" w:ascii="Times New Roman" w:hAnsi="Times New Roman" w:eastAsia="宋体" w:cs="Times New Roman"/>
          <w:kern w:val="0"/>
          <w:sz w:val="24"/>
          <w:lang w:eastAsia="zh-CN"/>
        </w:rPr>
        <w:t>），通过预案的实施，防止因组织不力、应急响应不及时、救护工作混乱等延误事件应急处置，最大程度地减少人员伤亡及财产损失，保障人员生命健康与财产安全，维护社会稳定，保护环境，促进社会全面、协调、可持续发展。</w:t>
      </w:r>
    </w:p>
    <w:p>
      <w:pPr>
        <w:autoSpaceDE w:val="0"/>
        <w:autoSpaceDN w:val="0"/>
        <w:adjustRightInd w:val="0"/>
        <w:snapToGrid w:val="0"/>
        <w:spacing w:line="360" w:lineRule="auto"/>
        <w:ind w:left="0" w:leftChars="0" w:firstLine="0" w:firstLineChars="0"/>
        <w:jc w:val="left"/>
        <w:outlineLvl w:val="0"/>
        <w:rPr>
          <w:rFonts w:ascii="Times New Roman" w:hAnsi="Times New Roman" w:eastAsia="宋体" w:cs="Times New Roman"/>
          <w:b/>
          <w:kern w:val="0"/>
          <w:sz w:val="28"/>
          <w:szCs w:val="28"/>
        </w:rPr>
      </w:pPr>
      <w:r>
        <w:rPr>
          <w:rFonts w:hint="eastAsia" w:ascii="Times New Roman" w:hAnsi="Times New Roman" w:eastAsia="宋体" w:cs="Times New Roman"/>
          <w:b/>
          <w:kern w:val="0"/>
          <w:sz w:val="28"/>
          <w:szCs w:val="28"/>
          <w:lang w:val="en-US" w:eastAsia="zh-CN"/>
        </w:rPr>
        <w:t>二、</w:t>
      </w:r>
      <w:r>
        <w:rPr>
          <w:rFonts w:ascii="Times New Roman" w:hAnsi="Times New Roman" w:eastAsia="宋体" w:cs="Times New Roman"/>
          <w:b/>
          <w:kern w:val="0"/>
          <w:sz w:val="28"/>
          <w:szCs w:val="28"/>
        </w:rPr>
        <w:t>编制过程概述</w:t>
      </w:r>
      <w:bookmarkEnd w:id="5"/>
      <w:bookmarkEnd w:id="6"/>
      <w:bookmarkEnd w:id="7"/>
    </w:p>
    <w:p>
      <w:pPr>
        <w:ind w:firstLine="480"/>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auto"/>
        </w:rPr>
        <w:t>公司成立了应急预案编制小组，主要工作任务为负责本公司突发环境事件应急预案编制工作。要求重点突出，</w:t>
      </w:r>
      <w:r>
        <w:rPr>
          <w:rFonts w:ascii="Times New Roman" w:hAnsi="Times New Roman" w:cs="Times New Roman"/>
          <w:color w:val="000000" w:themeColor="text1"/>
          <w14:textFill>
            <w14:solidFill>
              <w14:schemeClr w14:val="tx1"/>
            </w14:solidFill>
          </w14:textFill>
        </w:rPr>
        <w:t>针对性强；程序简单，步骤明确，保证发生事故时，能及时启动，有序实施；要统一指挥、责任明确。</w:t>
      </w:r>
    </w:p>
    <w:p>
      <w:pPr>
        <w:autoSpaceDE w:val="0"/>
        <w:autoSpaceDN w:val="0"/>
        <w:adjustRightInd w:val="0"/>
        <w:snapToGrid w:val="0"/>
        <w:spacing w:line="360" w:lineRule="auto"/>
        <w:ind w:firstLine="480" w:firstLineChars="200"/>
        <w:jc w:val="left"/>
        <w:rPr>
          <w:kern w:val="0"/>
          <w:sz w:val="24"/>
        </w:rPr>
      </w:pPr>
      <w:bookmarkStart w:id="8" w:name="_Toc430095128"/>
      <w:bookmarkStart w:id="9" w:name="_Toc77619993"/>
      <w:bookmarkStart w:id="10" w:name="_Toc9189"/>
      <w:r>
        <w:rPr>
          <w:kern w:val="0"/>
          <w:sz w:val="24"/>
        </w:rPr>
        <w:t>为确保</w:t>
      </w:r>
      <w:r>
        <w:rPr>
          <w:rFonts w:hint="eastAsia"/>
          <w:kern w:val="0"/>
          <w:sz w:val="24"/>
        </w:rPr>
        <w:t>本公司</w:t>
      </w:r>
      <w:r>
        <w:rPr>
          <w:kern w:val="0"/>
          <w:sz w:val="24"/>
        </w:rPr>
        <w:t>应急预案编制工作顺利实施，特成立了以</w:t>
      </w:r>
      <w:r>
        <w:rPr>
          <w:rFonts w:hint="eastAsia"/>
          <w:bCs/>
          <w:sz w:val="24"/>
        </w:rPr>
        <w:t>公司总经理</w:t>
      </w:r>
      <w:r>
        <w:rPr>
          <w:bCs/>
          <w:sz w:val="24"/>
        </w:rPr>
        <w:t>任总指挥，</w:t>
      </w:r>
      <w:r>
        <w:rPr>
          <w:rFonts w:hint="eastAsia"/>
          <w:bCs/>
          <w:sz w:val="24"/>
        </w:rPr>
        <w:t>副经理</w:t>
      </w:r>
      <w:r>
        <w:rPr>
          <w:bCs/>
          <w:sz w:val="24"/>
        </w:rPr>
        <w:t>任副总指挥，</w:t>
      </w:r>
      <w:r>
        <w:rPr>
          <w:kern w:val="0"/>
          <w:sz w:val="24"/>
        </w:rPr>
        <w:t>其他相关负责人为成员的应急预案编制小组，并对编制小组成员制定了明确的职责和工作计划。</w:t>
      </w:r>
    </w:p>
    <w:p>
      <w:pPr>
        <w:autoSpaceDE w:val="0"/>
        <w:autoSpaceDN w:val="0"/>
        <w:adjustRightInd w:val="0"/>
        <w:snapToGrid w:val="0"/>
        <w:spacing w:line="360" w:lineRule="auto"/>
        <w:ind w:firstLine="480" w:firstLineChars="200"/>
        <w:jc w:val="left"/>
        <w:rPr>
          <w:kern w:val="0"/>
          <w:sz w:val="24"/>
        </w:rPr>
      </w:pPr>
      <w:r>
        <w:rPr>
          <w:kern w:val="0"/>
          <w:sz w:val="24"/>
        </w:rPr>
        <w:t>编制小组为确保编制内容的真实、有效，首先对</w:t>
      </w:r>
      <w:r>
        <w:rPr>
          <w:rFonts w:hint="eastAsia"/>
          <w:kern w:val="0"/>
          <w:sz w:val="24"/>
        </w:rPr>
        <w:t>公司</w:t>
      </w:r>
      <w:r>
        <w:rPr>
          <w:kern w:val="0"/>
          <w:sz w:val="24"/>
        </w:rPr>
        <w:t>存在的环境风险源、周边环境状况及环境保护目标的基本情况进行了全面的调查，具体的内容包括：原材物料的消耗量、种类、储存量；</w:t>
      </w:r>
      <w:r>
        <w:rPr>
          <w:rFonts w:hint="eastAsia"/>
          <w:kern w:val="0"/>
          <w:sz w:val="24"/>
        </w:rPr>
        <w:t>生产线</w:t>
      </w:r>
      <w:r>
        <w:rPr>
          <w:kern w:val="0"/>
          <w:sz w:val="24"/>
        </w:rPr>
        <w:t>运行流程</w:t>
      </w:r>
      <w:r>
        <w:rPr>
          <w:rFonts w:hint="eastAsia"/>
          <w:kern w:val="0"/>
          <w:sz w:val="24"/>
        </w:rPr>
        <w:t>、工艺</w:t>
      </w:r>
      <w:r>
        <w:rPr>
          <w:kern w:val="0"/>
          <w:sz w:val="24"/>
        </w:rPr>
        <w:t>及各节点污染物排放种类、目前的控制措施；雨、清、污水收集、排放管网，应急设施（备）平面布置；主要排放污染物及污染治理设施处理后废物产量；</w:t>
      </w:r>
      <w:r>
        <w:rPr>
          <w:rFonts w:hint="eastAsia"/>
          <w:kern w:val="0"/>
          <w:sz w:val="24"/>
        </w:rPr>
        <w:t>企业</w:t>
      </w:r>
      <w:r>
        <w:rPr>
          <w:kern w:val="0"/>
          <w:sz w:val="24"/>
        </w:rPr>
        <w:t>周边人口集中居住区名称、联系方式、人数；周边企业、重要基础设施、道路等基本情况；周边环境敏感点本项目的距离和方位图；本项目产生污水排放去向，接纳水体情况及执行的环境标准；</w:t>
      </w:r>
      <w:r>
        <w:rPr>
          <w:rFonts w:hint="eastAsia"/>
          <w:kern w:val="0"/>
          <w:sz w:val="24"/>
        </w:rPr>
        <w:t>本项目</w:t>
      </w:r>
      <w:r>
        <w:rPr>
          <w:kern w:val="0"/>
          <w:sz w:val="24"/>
        </w:rPr>
        <w:t>下游水体河流，区域空气执行的环境标准等内容。</w:t>
      </w:r>
    </w:p>
    <w:p>
      <w:pPr>
        <w:autoSpaceDE w:val="0"/>
        <w:autoSpaceDN w:val="0"/>
        <w:adjustRightInd w:val="0"/>
        <w:snapToGrid w:val="0"/>
        <w:spacing w:line="360" w:lineRule="auto"/>
        <w:ind w:firstLine="480" w:firstLineChars="200"/>
        <w:jc w:val="left"/>
        <w:rPr>
          <w:kern w:val="0"/>
          <w:sz w:val="24"/>
        </w:rPr>
      </w:pPr>
      <w:r>
        <w:rPr>
          <w:kern w:val="0"/>
          <w:sz w:val="24"/>
        </w:rPr>
        <w:t>根据环境风险源辨识结果和目前</w:t>
      </w:r>
      <w:r>
        <w:rPr>
          <w:rFonts w:hint="eastAsia"/>
          <w:kern w:val="0"/>
          <w:sz w:val="24"/>
        </w:rPr>
        <w:t>公司</w:t>
      </w:r>
      <w:r>
        <w:rPr>
          <w:kern w:val="0"/>
          <w:sz w:val="24"/>
        </w:rPr>
        <w:t>现有应急能力的评估结果，</w:t>
      </w:r>
      <w:r>
        <w:rPr>
          <w:rFonts w:hint="eastAsia"/>
          <w:kern w:val="0"/>
          <w:sz w:val="24"/>
        </w:rPr>
        <w:t>公司</w:t>
      </w:r>
      <w:r>
        <w:rPr>
          <w:kern w:val="0"/>
          <w:sz w:val="24"/>
        </w:rPr>
        <w:t>成立了</w:t>
      </w:r>
      <w:r>
        <w:rPr>
          <w:rFonts w:hint="eastAsia"/>
          <w:kern w:val="0"/>
          <w:sz w:val="24"/>
        </w:rPr>
        <w:t>公司</w:t>
      </w:r>
      <w:r>
        <w:rPr>
          <w:kern w:val="0"/>
          <w:sz w:val="24"/>
        </w:rPr>
        <w:t>环境污染事件应急救援指挥部</w:t>
      </w:r>
      <w:r>
        <w:rPr>
          <w:bCs/>
          <w:sz w:val="24"/>
        </w:rPr>
        <w:t>（以下简称指挥部）</w:t>
      </w:r>
      <w:r>
        <w:rPr>
          <w:kern w:val="0"/>
          <w:sz w:val="24"/>
        </w:rPr>
        <w:t>和应急救援组。明确了</w:t>
      </w:r>
      <w:r>
        <w:rPr>
          <w:rFonts w:hint="eastAsia"/>
          <w:kern w:val="0"/>
          <w:sz w:val="24"/>
        </w:rPr>
        <w:t>应急救援指挥部</w:t>
      </w:r>
      <w:r>
        <w:rPr>
          <w:kern w:val="0"/>
          <w:sz w:val="24"/>
        </w:rPr>
        <w:t>和各救援小组的应急职责，建立了预警机制，并根据突发环境事故的严重性、紧急程度和可能涉及的范围，将突发环境事故的预警级别分为三级，预警级别由低到高，依次为部门级</w:t>
      </w:r>
      <w:r>
        <w:rPr>
          <w:rFonts w:hint="eastAsia"/>
          <w:kern w:val="0"/>
          <w:sz w:val="24"/>
        </w:rPr>
        <w:t>、</w:t>
      </w:r>
      <w:r>
        <w:rPr>
          <w:kern w:val="0"/>
          <w:sz w:val="24"/>
        </w:rPr>
        <w:t>公司级</w:t>
      </w:r>
      <w:r>
        <w:rPr>
          <w:rFonts w:hint="eastAsia"/>
          <w:kern w:val="0"/>
          <w:sz w:val="24"/>
        </w:rPr>
        <w:t>、社会</w:t>
      </w:r>
      <w:r>
        <w:rPr>
          <w:kern w:val="0"/>
          <w:sz w:val="24"/>
        </w:rPr>
        <w:t>级。根据事态的发展情况和采取措施的效果，预警级别可以升级、降级或解除。</w:t>
      </w:r>
    </w:p>
    <w:p>
      <w:pPr>
        <w:autoSpaceDE w:val="0"/>
        <w:autoSpaceDN w:val="0"/>
        <w:adjustRightInd w:val="0"/>
        <w:snapToGrid w:val="0"/>
        <w:spacing w:line="360" w:lineRule="auto"/>
        <w:ind w:firstLine="480" w:firstLineChars="200"/>
        <w:jc w:val="left"/>
        <w:rPr>
          <w:kern w:val="0"/>
          <w:sz w:val="24"/>
        </w:rPr>
      </w:pPr>
      <w:r>
        <w:rPr>
          <w:kern w:val="0"/>
          <w:sz w:val="24"/>
        </w:rPr>
        <w:t>预案编制小组在建立了预警机制后，根据可能发生的环境突发事故的严重程度和紧急程度，将突发环境事件分为三级。并根据事件的等级制定了相应的应急响应流程、应急处置措施、危险区域的隔离与安全区的设定。关于事故的报告，编制组根据事故的影响范围，确定了等级上报程序及在什么情况下需要向</w:t>
      </w:r>
      <w:r>
        <w:rPr>
          <w:rFonts w:hint="eastAsia"/>
          <w:kern w:val="0"/>
          <w:sz w:val="24"/>
        </w:rPr>
        <w:t>公司</w:t>
      </w:r>
      <w:r>
        <w:rPr>
          <w:kern w:val="0"/>
          <w:sz w:val="24"/>
        </w:rPr>
        <w:t>周边环境风险受体进行通报。</w:t>
      </w:r>
    </w:p>
    <w:p>
      <w:pPr>
        <w:autoSpaceDE w:val="0"/>
        <w:autoSpaceDN w:val="0"/>
        <w:adjustRightInd w:val="0"/>
        <w:snapToGrid w:val="0"/>
        <w:spacing w:line="360" w:lineRule="auto"/>
        <w:ind w:firstLine="480" w:firstLineChars="200"/>
        <w:jc w:val="left"/>
        <w:rPr>
          <w:kern w:val="0"/>
          <w:sz w:val="24"/>
        </w:rPr>
      </w:pPr>
      <w:r>
        <w:rPr>
          <w:kern w:val="0"/>
          <w:sz w:val="24"/>
        </w:rPr>
        <w:t>为确保整个事故救援过程顺利、有效</w:t>
      </w:r>
      <w:r>
        <w:rPr>
          <w:rFonts w:hint="eastAsia"/>
          <w:kern w:val="0"/>
          <w:sz w:val="24"/>
        </w:rPr>
        <w:t>地</w:t>
      </w:r>
      <w:r>
        <w:rPr>
          <w:kern w:val="0"/>
          <w:sz w:val="24"/>
        </w:rPr>
        <w:t>开展，编制组在预案中明确了</w:t>
      </w:r>
      <w:r>
        <w:rPr>
          <w:rFonts w:hint="eastAsia"/>
          <w:kern w:val="0"/>
          <w:sz w:val="24"/>
        </w:rPr>
        <w:t>公司</w:t>
      </w:r>
      <w:r>
        <w:rPr>
          <w:kern w:val="0"/>
          <w:sz w:val="24"/>
        </w:rPr>
        <w:t>整个保障体系，具体包括：通讯与信息保障、应急队伍保障、应急物资装备保障、交通运输保障、救援医疗保障、治安保障等。预案的主要内容编制完成后，编制组为确保预案达到编制目的，降低事故损失，对预案的培训和演练做了详细的规定。</w:t>
      </w:r>
    </w:p>
    <w:p>
      <w:pPr>
        <w:autoSpaceDE w:val="0"/>
        <w:autoSpaceDN w:val="0"/>
        <w:adjustRightInd w:val="0"/>
        <w:snapToGrid w:val="0"/>
        <w:spacing w:line="360" w:lineRule="auto"/>
        <w:ind w:firstLine="480" w:firstLineChars="200"/>
        <w:jc w:val="left"/>
        <w:rPr>
          <w:kern w:val="0"/>
          <w:sz w:val="24"/>
        </w:rPr>
      </w:pPr>
      <w:r>
        <w:rPr>
          <w:kern w:val="0"/>
          <w:sz w:val="24"/>
        </w:rPr>
        <w:t>预案编制完成后，应急预案编制小组对预案的主要内容进行了内部审核，对审核中提出的问题，预案编制组对其进行了完善。预案的内部编制工作已基本完成。</w:t>
      </w:r>
    </w:p>
    <w:p>
      <w:pPr>
        <w:widowControl/>
        <w:ind w:firstLine="0" w:firstLineChars="0"/>
        <w:jc w:val="left"/>
        <w:rPr>
          <w:b/>
          <w:bCs/>
          <w:color w:val="000000" w:themeColor="text1"/>
          <w:sz w:val="30"/>
          <w:szCs w:val="30"/>
          <w14:textFill>
            <w14:solidFill>
              <w14:schemeClr w14:val="tx1"/>
            </w14:solidFill>
          </w14:textFill>
        </w:rPr>
      </w:pPr>
      <w:r>
        <w:rPr>
          <w:rFonts w:hint="eastAsia"/>
          <w:b/>
          <w:bCs/>
          <w:color w:val="000000" w:themeColor="text1"/>
          <w:sz w:val="30"/>
          <w:szCs w:val="30"/>
          <w:lang w:val="en-US" w:eastAsia="zh-CN"/>
          <w14:textFill>
            <w14:solidFill>
              <w14:schemeClr w14:val="tx1"/>
            </w14:solidFill>
          </w14:textFill>
        </w:rPr>
        <w:t>三、</w:t>
      </w:r>
      <w:r>
        <w:rPr>
          <w:b/>
          <w:bCs/>
          <w:color w:val="000000" w:themeColor="text1"/>
          <w:sz w:val="30"/>
          <w:szCs w:val="30"/>
          <w14:textFill>
            <w14:solidFill>
              <w14:schemeClr w14:val="tx1"/>
            </w14:solidFill>
          </w14:textFill>
        </w:rPr>
        <w:t>重点内容说明</w:t>
      </w:r>
      <w:bookmarkEnd w:id="8"/>
      <w:bookmarkEnd w:id="9"/>
      <w:bookmarkEnd w:id="10"/>
    </w:p>
    <w:p>
      <w:pPr>
        <w:autoSpaceDE w:val="0"/>
        <w:autoSpaceDN w:val="0"/>
        <w:adjustRightInd w:val="0"/>
        <w:snapToGrid w:val="0"/>
        <w:spacing w:line="360" w:lineRule="auto"/>
        <w:ind w:firstLine="480" w:firstLineChars="200"/>
        <w:jc w:val="left"/>
        <w:rPr>
          <w:color w:val="000000" w:themeColor="text1"/>
          <w:kern w:val="0"/>
          <w:sz w:val="24"/>
          <w14:textFill>
            <w14:solidFill>
              <w14:schemeClr w14:val="tx1"/>
            </w14:solidFill>
          </w14:textFill>
        </w:rPr>
      </w:pPr>
      <w:bookmarkStart w:id="11" w:name="_Toc88665945"/>
      <w:bookmarkStart w:id="12" w:name="_Toc12967"/>
      <w:r>
        <w:rPr>
          <w:color w:val="000000" w:themeColor="text1"/>
          <w:kern w:val="0"/>
          <w:sz w:val="24"/>
          <w14:textFill>
            <w14:solidFill>
              <w14:schemeClr w14:val="tx1"/>
            </w14:solidFill>
          </w14:textFill>
        </w:rPr>
        <w:t>（</w:t>
      </w:r>
      <w:r>
        <w:rPr>
          <w:rFonts w:hint="eastAsia"/>
          <w:color w:val="000000" w:themeColor="text1"/>
          <w:kern w:val="0"/>
          <w:sz w:val="24"/>
          <w14:textFill>
            <w14:solidFill>
              <w14:schemeClr w14:val="tx1"/>
            </w14:solidFill>
          </w14:textFill>
        </w:rPr>
        <w:t>一</w:t>
      </w:r>
      <w:r>
        <w:rPr>
          <w:color w:val="000000" w:themeColor="text1"/>
          <w:kern w:val="0"/>
          <w:sz w:val="24"/>
          <w14:textFill>
            <w14:solidFill>
              <w14:schemeClr w14:val="tx1"/>
            </w14:solidFill>
          </w14:textFill>
        </w:rPr>
        <w:t>）预案构成</w:t>
      </w:r>
    </w:p>
    <w:p>
      <w:pPr>
        <w:autoSpaceDE w:val="0"/>
        <w:autoSpaceDN w:val="0"/>
        <w:adjustRightInd w:val="0"/>
        <w:snapToGrid w:val="0"/>
        <w:spacing w:line="360" w:lineRule="auto"/>
        <w:ind w:firstLine="480" w:firstLineChars="200"/>
        <w:jc w:val="left"/>
        <w:rPr>
          <w:color w:val="000000" w:themeColor="text1"/>
          <w:kern w:val="0"/>
          <w:sz w:val="24"/>
          <w14:textFill>
            <w14:solidFill>
              <w14:schemeClr w14:val="tx1"/>
            </w14:solidFill>
          </w14:textFill>
        </w:rPr>
      </w:pPr>
      <w:r>
        <w:rPr>
          <w:color w:val="000000" w:themeColor="text1"/>
          <w:kern w:val="0"/>
          <w:sz w:val="24"/>
          <w14:textFill>
            <w14:solidFill>
              <w14:schemeClr w14:val="tx1"/>
            </w14:solidFill>
          </w14:textFill>
        </w:rPr>
        <w:t>《预案》共分十</w:t>
      </w:r>
      <w:r>
        <w:rPr>
          <w:rFonts w:hint="eastAsia"/>
          <w:color w:val="000000" w:themeColor="text1"/>
          <w:kern w:val="0"/>
          <w:sz w:val="24"/>
          <w14:textFill>
            <w14:solidFill>
              <w14:schemeClr w14:val="tx1"/>
            </w14:solidFill>
          </w14:textFill>
        </w:rPr>
        <w:t>一个</w:t>
      </w:r>
      <w:r>
        <w:rPr>
          <w:color w:val="000000" w:themeColor="text1"/>
          <w:kern w:val="0"/>
          <w:sz w:val="24"/>
          <w14:textFill>
            <w14:solidFill>
              <w14:schemeClr w14:val="tx1"/>
            </w14:solidFill>
          </w14:textFill>
        </w:rPr>
        <w:t>部分，具体包括：总则、</w:t>
      </w:r>
      <w:r>
        <w:rPr>
          <w:rFonts w:hint="eastAsia"/>
          <w:color w:val="000000" w:themeColor="text1"/>
          <w:kern w:val="0"/>
          <w:sz w:val="24"/>
          <w14:textFill>
            <w14:solidFill>
              <w14:schemeClr w14:val="tx1"/>
            </w14:solidFill>
          </w14:textFill>
        </w:rPr>
        <w:t>应急组织机构和职责</w:t>
      </w:r>
      <w:r>
        <w:rPr>
          <w:color w:val="000000" w:themeColor="text1"/>
          <w:kern w:val="0"/>
          <w:sz w:val="24"/>
          <w14:textFill>
            <w14:solidFill>
              <w14:schemeClr w14:val="tx1"/>
            </w14:solidFill>
          </w14:textFill>
        </w:rPr>
        <w:t>、</w:t>
      </w:r>
      <w:bookmarkStart w:id="13" w:name="_Toc10662"/>
      <w:r>
        <w:rPr>
          <w:rFonts w:hint="eastAsia"/>
          <w:color w:val="000000" w:themeColor="text1"/>
          <w:kern w:val="0"/>
          <w:sz w:val="24"/>
          <w14:textFill>
            <w14:solidFill>
              <w14:schemeClr w14:val="tx1"/>
            </w14:solidFill>
          </w14:textFill>
        </w:rPr>
        <w:t>预防与预警、信息报告与通报、应急响应及措施、信息公开、后期处理、</w:t>
      </w:r>
      <w:bookmarkEnd w:id="13"/>
      <w:r>
        <w:rPr>
          <w:color w:val="000000" w:themeColor="text1"/>
          <w:kern w:val="0"/>
          <w:sz w:val="24"/>
          <w14:textFill>
            <w14:solidFill>
              <w14:schemeClr w14:val="tx1"/>
            </w14:solidFill>
          </w14:textFill>
        </w:rPr>
        <w:t>应急保障措施、预案</w:t>
      </w:r>
      <w:r>
        <w:rPr>
          <w:rFonts w:hint="eastAsia"/>
          <w:color w:val="000000" w:themeColor="text1"/>
          <w:kern w:val="0"/>
          <w:sz w:val="24"/>
          <w14:textFill>
            <w14:solidFill>
              <w14:schemeClr w14:val="tx1"/>
            </w14:solidFill>
          </w14:textFill>
        </w:rPr>
        <w:t>管理</w:t>
      </w:r>
      <w:r>
        <w:rPr>
          <w:color w:val="000000" w:themeColor="text1"/>
          <w:kern w:val="0"/>
          <w:sz w:val="24"/>
          <w14:textFill>
            <w14:solidFill>
              <w14:schemeClr w14:val="tx1"/>
            </w14:solidFill>
          </w14:textFill>
        </w:rPr>
        <w:t>、现场处置预案</w:t>
      </w:r>
      <w:r>
        <w:rPr>
          <w:rFonts w:hint="eastAsia"/>
          <w:color w:val="000000" w:themeColor="text1"/>
          <w:kern w:val="0"/>
          <w:sz w:val="24"/>
          <w14:textFill>
            <w14:solidFill>
              <w14:schemeClr w14:val="tx1"/>
            </w14:solidFill>
          </w14:textFill>
        </w:rPr>
        <w:t>、附图与</w:t>
      </w:r>
      <w:r>
        <w:rPr>
          <w:color w:val="000000" w:themeColor="text1"/>
          <w:kern w:val="0"/>
          <w:sz w:val="24"/>
          <w14:textFill>
            <w14:solidFill>
              <w14:schemeClr w14:val="tx1"/>
            </w14:solidFill>
          </w14:textFill>
        </w:rPr>
        <w:t>附</w:t>
      </w:r>
      <w:r>
        <w:rPr>
          <w:rFonts w:hint="eastAsia"/>
          <w:color w:val="000000" w:themeColor="text1"/>
          <w:kern w:val="0"/>
          <w:sz w:val="24"/>
          <w14:textFill>
            <w14:solidFill>
              <w14:schemeClr w14:val="tx1"/>
            </w14:solidFill>
          </w14:textFill>
        </w:rPr>
        <w:t>件</w:t>
      </w:r>
      <w:r>
        <w:rPr>
          <w:color w:val="000000" w:themeColor="text1"/>
          <w:kern w:val="0"/>
          <w:sz w:val="24"/>
          <w14:textFill>
            <w14:solidFill>
              <w14:schemeClr w14:val="tx1"/>
            </w14:solidFill>
          </w14:textFill>
        </w:rPr>
        <w:t>。</w:t>
      </w:r>
    </w:p>
    <w:p>
      <w:pPr>
        <w:autoSpaceDE w:val="0"/>
        <w:autoSpaceDN w:val="0"/>
        <w:adjustRightInd w:val="0"/>
        <w:snapToGrid w:val="0"/>
        <w:spacing w:line="360" w:lineRule="auto"/>
        <w:ind w:firstLine="480" w:firstLineChars="200"/>
        <w:jc w:val="left"/>
        <w:rPr>
          <w:color w:val="000000" w:themeColor="text1"/>
          <w:kern w:val="0"/>
          <w:sz w:val="24"/>
          <w14:textFill>
            <w14:solidFill>
              <w14:schemeClr w14:val="tx1"/>
            </w14:solidFill>
          </w14:textFill>
        </w:rPr>
      </w:pPr>
      <w:r>
        <w:rPr>
          <w:color w:val="000000" w:themeColor="text1"/>
          <w:kern w:val="0"/>
          <w:sz w:val="24"/>
          <w14:textFill>
            <w14:solidFill>
              <w14:schemeClr w14:val="tx1"/>
            </w14:solidFill>
          </w14:textFill>
        </w:rPr>
        <w:t>（</w:t>
      </w:r>
      <w:r>
        <w:rPr>
          <w:rFonts w:hint="eastAsia"/>
          <w:color w:val="000000" w:themeColor="text1"/>
          <w:kern w:val="0"/>
          <w:sz w:val="24"/>
          <w14:textFill>
            <w14:solidFill>
              <w14:schemeClr w14:val="tx1"/>
            </w14:solidFill>
          </w14:textFill>
        </w:rPr>
        <w:t>二</w:t>
      </w:r>
      <w:r>
        <w:rPr>
          <w:color w:val="000000" w:themeColor="text1"/>
          <w:kern w:val="0"/>
          <w:sz w:val="24"/>
          <w14:textFill>
            <w14:solidFill>
              <w14:schemeClr w14:val="tx1"/>
            </w14:solidFill>
          </w14:textFill>
        </w:rPr>
        <w:t>）现有环境风险源</w:t>
      </w:r>
    </w:p>
    <w:p>
      <w:pPr>
        <w:autoSpaceDE w:val="0"/>
        <w:autoSpaceDN w:val="0"/>
        <w:adjustRightInd w:val="0"/>
        <w:snapToGrid w:val="0"/>
        <w:spacing w:line="360" w:lineRule="auto"/>
        <w:ind w:firstLine="480" w:firstLineChars="200"/>
        <w:jc w:val="left"/>
        <w:rPr>
          <w:color w:val="000000" w:themeColor="text1"/>
          <w:kern w:val="0"/>
          <w:sz w:val="24"/>
          <w14:textFill>
            <w14:solidFill>
              <w14:schemeClr w14:val="tx1"/>
            </w14:solidFill>
          </w14:textFill>
        </w:rPr>
      </w:pPr>
      <w:r>
        <w:rPr>
          <w:color w:val="000000" w:themeColor="text1"/>
          <w:kern w:val="0"/>
          <w:sz w:val="24"/>
          <w14:textFill>
            <w14:solidFill>
              <w14:schemeClr w14:val="tx1"/>
            </w14:solidFill>
          </w14:textFill>
        </w:rPr>
        <w:t>通过对</w:t>
      </w:r>
      <w:r>
        <w:rPr>
          <w:rFonts w:hint="eastAsia"/>
          <w:color w:val="000000" w:themeColor="text1"/>
          <w:kern w:val="0"/>
          <w:sz w:val="24"/>
          <w14:textFill>
            <w14:solidFill>
              <w14:schemeClr w14:val="tx1"/>
            </w14:solidFill>
          </w14:textFill>
        </w:rPr>
        <w:t>企业</w:t>
      </w:r>
      <w:r>
        <w:rPr>
          <w:color w:val="000000" w:themeColor="text1"/>
          <w:kern w:val="0"/>
          <w:sz w:val="24"/>
          <w14:textFill>
            <w14:solidFill>
              <w14:schemeClr w14:val="tx1"/>
            </w14:solidFill>
          </w14:textFill>
        </w:rPr>
        <w:t>及周边情况调查，确定了</w:t>
      </w:r>
      <w:r>
        <w:rPr>
          <w:rFonts w:hint="eastAsia"/>
          <w:color w:val="000000" w:themeColor="text1"/>
          <w:kern w:val="0"/>
          <w:sz w:val="24"/>
          <w14:textFill>
            <w14:solidFill>
              <w14:schemeClr w14:val="tx1"/>
            </w14:solidFill>
          </w14:textFill>
        </w:rPr>
        <w:t>企业</w:t>
      </w:r>
      <w:r>
        <w:rPr>
          <w:color w:val="000000" w:themeColor="text1"/>
          <w:kern w:val="0"/>
          <w:sz w:val="24"/>
          <w14:textFill>
            <w14:solidFill>
              <w14:schemeClr w14:val="tx1"/>
            </w14:solidFill>
          </w14:textFill>
        </w:rPr>
        <w:t>的环境风险源有以下几</w:t>
      </w:r>
      <w:r>
        <w:rPr>
          <w:rFonts w:hint="eastAsia"/>
          <w:color w:val="000000" w:themeColor="text1"/>
          <w:kern w:val="0"/>
          <w:sz w:val="24"/>
          <w14:textFill>
            <w14:solidFill>
              <w14:schemeClr w14:val="tx1"/>
            </w14:solidFill>
          </w14:textFill>
        </w:rPr>
        <w:t>个方面：</w:t>
      </w:r>
      <w:r>
        <w:rPr>
          <w:rFonts w:hint="eastAsia"/>
          <w:color w:val="000000" w:themeColor="text1"/>
          <w:kern w:val="0"/>
          <w:sz w:val="24"/>
          <w:lang w:val="en-US" w:eastAsia="zh-CN"/>
          <w14:textFill>
            <w14:solidFill>
              <w14:schemeClr w14:val="tx1"/>
            </w14:solidFill>
          </w14:textFill>
        </w:rPr>
        <w:t>车间一</w:t>
      </w:r>
      <w:r>
        <w:rPr>
          <w:rFonts w:hint="eastAsia"/>
          <w:color w:val="000000" w:themeColor="text1"/>
          <w:kern w:val="0"/>
          <w:sz w:val="24"/>
          <w14:textFill>
            <w14:solidFill>
              <w14:schemeClr w14:val="tx1"/>
            </w14:solidFill>
          </w14:textFill>
        </w:rPr>
        <w:t>、</w:t>
      </w:r>
      <w:r>
        <w:rPr>
          <w:rFonts w:hint="eastAsia"/>
          <w:color w:val="000000" w:themeColor="text1"/>
          <w:kern w:val="0"/>
          <w:sz w:val="24"/>
          <w:lang w:val="en-US" w:eastAsia="zh-CN"/>
          <w14:textFill>
            <w14:solidFill>
              <w14:schemeClr w14:val="tx1"/>
            </w14:solidFill>
          </w14:textFill>
        </w:rPr>
        <w:t>车间二</w:t>
      </w:r>
      <w:r>
        <w:rPr>
          <w:rFonts w:hint="eastAsia"/>
          <w:color w:val="000000" w:themeColor="text1"/>
          <w:kern w:val="0"/>
          <w:sz w:val="24"/>
          <w14:textFill>
            <w14:solidFill>
              <w14:schemeClr w14:val="tx1"/>
            </w14:solidFill>
          </w14:textFill>
        </w:rPr>
        <w:t>、危废暂存间、</w:t>
      </w:r>
      <w:r>
        <w:rPr>
          <w:rFonts w:hint="eastAsia"/>
          <w:color w:val="000000" w:themeColor="text1"/>
          <w:kern w:val="0"/>
          <w:sz w:val="24"/>
          <w:lang w:val="en-US" w:eastAsia="zh-CN"/>
          <w14:textFill>
            <w14:solidFill>
              <w14:schemeClr w14:val="tx1"/>
            </w14:solidFill>
          </w14:textFill>
        </w:rPr>
        <w:t>仓库二、</w:t>
      </w:r>
      <w:r>
        <w:rPr>
          <w:rFonts w:hint="eastAsia"/>
          <w:color w:val="000000" w:themeColor="text1"/>
          <w:kern w:val="0"/>
          <w:sz w:val="24"/>
          <w14:textFill>
            <w14:solidFill>
              <w14:schemeClr w14:val="tx1"/>
            </w14:solidFill>
          </w14:textFill>
        </w:rPr>
        <w:t>事故应急池</w:t>
      </w:r>
      <w:r>
        <w:rPr>
          <w:rFonts w:hint="eastAsia"/>
          <w:color w:val="000000" w:themeColor="text1"/>
          <w:kern w:val="0"/>
          <w:sz w:val="24"/>
          <w:lang w:eastAsia="zh-CN"/>
          <w14:textFill>
            <w14:solidFill>
              <w14:schemeClr w14:val="tx1"/>
            </w14:solidFill>
          </w14:textFill>
        </w:rPr>
        <w:t>、</w:t>
      </w:r>
      <w:r>
        <w:rPr>
          <w:rFonts w:hint="eastAsia"/>
          <w:color w:val="000000" w:themeColor="text1"/>
          <w:kern w:val="0"/>
          <w:sz w:val="24"/>
          <w:lang w:val="en-US" w:eastAsia="zh-CN"/>
          <w14:textFill>
            <w14:solidFill>
              <w14:schemeClr w14:val="tx1"/>
            </w14:solidFill>
          </w14:textFill>
        </w:rPr>
        <w:t>初期雨水池</w:t>
      </w:r>
      <w:r>
        <w:rPr>
          <w:rFonts w:hint="eastAsia"/>
          <w:color w:val="000000" w:themeColor="text1"/>
          <w:kern w:val="0"/>
          <w:sz w:val="24"/>
          <w14:textFill>
            <w14:solidFill>
              <w14:schemeClr w14:val="tx1"/>
            </w14:solidFill>
          </w14:textFill>
        </w:rPr>
        <w:t>等。</w:t>
      </w:r>
    </w:p>
    <w:p>
      <w:pPr>
        <w:autoSpaceDE w:val="0"/>
        <w:autoSpaceDN w:val="0"/>
        <w:adjustRightInd w:val="0"/>
        <w:snapToGrid w:val="0"/>
        <w:spacing w:line="360" w:lineRule="auto"/>
        <w:ind w:firstLine="480" w:firstLineChars="200"/>
        <w:jc w:val="left"/>
        <w:rPr>
          <w:rFonts w:hint="default" w:eastAsia="宋体"/>
          <w:color w:val="000000" w:themeColor="text1"/>
          <w:kern w:val="0"/>
          <w:sz w:val="24"/>
          <w:lang w:val="en-US" w:eastAsia="zh-CN"/>
          <w14:textFill>
            <w14:solidFill>
              <w14:schemeClr w14:val="tx1"/>
            </w14:solidFill>
          </w14:textFill>
        </w:rPr>
      </w:pPr>
      <w:r>
        <w:rPr>
          <w:rFonts w:hint="eastAsia"/>
          <w:color w:val="000000" w:themeColor="text1"/>
          <w:kern w:val="0"/>
          <w:sz w:val="24"/>
          <w14:textFill>
            <w14:solidFill>
              <w14:schemeClr w14:val="tx1"/>
            </w14:solidFill>
          </w14:textFill>
        </w:rPr>
        <w:t>企业内使用的原辅料、主副产品、危废等涉及环境风险物质，主要为甲基丙烯酸</w:t>
      </w:r>
      <w:r>
        <w:rPr>
          <w:rFonts w:hint="eastAsia" w:ascii="Times New Roman" w:hAnsi="Times New Roman" w:eastAsia="宋体" w:cs="Times New Roman"/>
          <w:color w:val="000000" w:themeColor="text1"/>
          <w:kern w:val="0"/>
          <w:sz w:val="24"/>
          <w14:textFill>
            <w14:solidFill>
              <w14:schemeClr w14:val="tx1"/>
            </w14:solidFill>
          </w14:textFill>
        </w:rPr>
        <w:t>甲酯、丙烯酸丁酯、丁酮</w:t>
      </w:r>
      <w:r>
        <w:rPr>
          <w:rFonts w:hint="eastAsia"/>
          <w:color w:val="000000" w:themeColor="text1"/>
          <w:kern w:val="0"/>
          <w:sz w:val="24"/>
          <w14:textFill>
            <w14:solidFill>
              <w14:schemeClr w14:val="tx1"/>
            </w14:solidFill>
          </w14:textFill>
        </w:rPr>
        <w:t>、乙酸乙酯、</w:t>
      </w:r>
      <w:r>
        <w:rPr>
          <w:rFonts w:hint="eastAsia" w:ascii="Times New Roman" w:hAnsi="Times New Roman" w:eastAsia="宋体" w:cs="Times New Roman"/>
          <w:color w:val="000000" w:themeColor="text1"/>
          <w:kern w:val="0"/>
          <w:sz w:val="24"/>
          <w14:textFill>
            <w14:solidFill>
              <w14:schemeClr w14:val="tx1"/>
            </w14:solidFill>
          </w14:textFill>
        </w:rPr>
        <w:t>氨水</w:t>
      </w:r>
      <w:r>
        <w:rPr>
          <w:rFonts w:hint="eastAsia" w:ascii="Times New Roman" w:hAnsi="Times New Roman" w:eastAsia="宋体" w:cs="Times New Roman"/>
          <w:color w:val="000000" w:themeColor="text1"/>
          <w:kern w:val="0"/>
          <w:sz w:val="24"/>
          <w:lang w:eastAsia="zh-CN"/>
          <w14:textFill>
            <w14:solidFill>
              <w14:schemeClr w14:val="tx1"/>
            </w14:solidFill>
          </w14:textFill>
        </w:rPr>
        <w:t>、</w:t>
      </w:r>
      <w:r>
        <w:rPr>
          <w:rFonts w:hint="eastAsia" w:ascii="Times New Roman" w:hAnsi="Times New Roman" w:eastAsia="宋体" w:cs="Times New Roman"/>
          <w:color w:val="000000" w:themeColor="text1"/>
          <w:kern w:val="0"/>
          <w:sz w:val="24"/>
          <w:lang w:val="en-US" w:eastAsia="zh-CN"/>
          <w14:textFill>
            <w14:solidFill>
              <w14:schemeClr w14:val="tx1"/>
            </w14:solidFill>
          </w14:textFill>
        </w:rPr>
        <w:t>异丙醇</w:t>
      </w:r>
      <w:r>
        <w:rPr>
          <w:rFonts w:hint="eastAsia" w:ascii="Times New Roman" w:hAnsi="Times New Roman" w:eastAsia="宋体" w:cs="Times New Roman"/>
          <w:color w:val="000000" w:themeColor="text1"/>
          <w:kern w:val="0"/>
          <w:sz w:val="24"/>
          <w14:textFill>
            <w14:solidFill>
              <w14:schemeClr w14:val="tx1"/>
            </w14:solidFill>
          </w14:textFill>
        </w:rPr>
        <w:t>，</w:t>
      </w:r>
      <w:r>
        <w:rPr>
          <w:rFonts w:hint="eastAsia" w:ascii="Times New Roman" w:hAnsi="Times New Roman" w:eastAsia="宋体" w:cs="Times New Roman"/>
          <w:color w:val="000000" w:themeColor="text1"/>
          <w:kern w:val="0"/>
          <w:sz w:val="24"/>
          <w:lang w:val="en-US" w:eastAsia="zh-CN"/>
          <w14:textFill>
            <w14:solidFill>
              <w14:schemeClr w14:val="tx1"/>
            </w14:solidFill>
          </w14:textFill>
        </w:rPr>
        <w:t>等易燃液态物质和有毒液态物质。</w:t>
      </w:r>
    </w:p>
    <w:p>
      <w:pPr>
        <w:autoSpaceDE w:val="0"/>
        <w:autoSpaceDN w:val="0"/>
        <w:adjustRightInd w:val="0"/>
        <w:snapToGrid w:val="0"/>
        <w:spacing w:line="360" w:lineRule="auto"/>
        <w:ind w:firstLine="480" w:firstLineChars="200"/>
        <w:jc w:val="left"/>
        <w:rPr>
          <w:rFonts w:hint="eastAsia"/>
          <w:color w:val="000000" w:themeColor="text1"/>
          <w:kern w:val="0"/>
          <w:sz w:val="24"/>
          <w14:textFill>
            <w14:solidFill>
              <w14:schemeClr w14:val="tx1"/>
            </w14:solidFill>
          </w14:textFill>
        </w:rPr>
      </w:pPr>
      <w:r>
        <w:rPr>
          <w:rFonts w:hint="eastAsia"/>
          <w:color w:val="000000" w:themeColor="text1"/>
          <w:kern w:val="0"/>
          <w:sz w:val="24"/>
          <w14:textFill>
            <w14:solidFill>
              <w14:schemeClr w14:val="tx1"/>
            </w14:solidFill>
          </w14:textFill>
        </w:rPr>
        <w:t>（三）现有污染源控制措施</w:t>
      </w:r>
    </w:p>
    <w:p>
      <w:pPr>
        <w:autoSpaceDE w:val="0"/>
        <w:autoSpaceDN w:val="0"/>
        <w:adjustRightInd w:val="0"/>
        <w:snapToGrid w:val="0"/>
        <w:spacing w:line="360" w:lineRule="auto"/>
        <w:ind w:firstLine="480" w:firstLineChars="200"/>
        <w:jc w:val="left"/>
        <w:rPr>
          <w:rFonts w:hint="eastAsia"/>
          <w:color w:val="000000" w:themeColor="text1"/>
          <w:kern w:val="0"/>
          <w:sz w:val="24"/>
          <w14:textFill>
            <w14:solidFill>
              <w14:schemeClr w14:val="tx1"/>
            </w14:solidFill>
          </w14:textFill>
        </w:rPr>
      </w:pPr>
      <w:r>
        <w:rPr>
          <w:rFonts w:hint="eastAsia"/>
          <w:color w:val="000000" w:themeColor="text1"/>
          <w:kern w:val="0"/>
          <w:sz w:val="24"/>
          <w14:textFill>
            <w14:solidFill>
              <w14:schemeClr w14:val="tx1"/>
            </w14:solidFill>
          </w14:textFill>
        </w:rPr>
        <w:t>（1）废水污染控制措施</w:t>
      </w:r>
    </w:p>
    <w:p>
      <w:pPr>
        <w:autoSpaceDE w:val="0"/>
        <w:autoSpaceDN w:val="0"/>
        <w:adjustRightInd w:val="0"/>
        <w:snapToGrid w:val="0"/>
        <w:spacing w:line="360" w:lineRule="auto"/>
        <w:ind w:firstLine="480" w:firstLineChars="200"/>
        <w:jc w:val="left"/>
        <w:rPr>
          <w:rFonts w:hint="eastAsia"/>
          <w:color w:val="000000" w:themeColor="text1"/>
          <w:kern w:val="0"/>
          <w:sz w:val="24"/>
          <w:lang w:eastAsia="zh-CN"/>
          <w14:textFill>
            <w14:solidFill>
              <w14:schemeClr w14:val="tx1"/>
            </w14:solidFill>
          </w14:textFill>
        </w:rPr>
      </w:pPr>
      <w:r>
        <w:rPr>
          <w:rFonts w:hint="eastAsia"/>
          <w:color w:val="000000" w:themeColor="text1"/>
          <w:kern w:val="0"/>
          <w:sz w:val="24"/>
          <w14:textFill>
            <w14:solidFill>
              <w14:schemeClr w14:val="tx1"/>
            </w14:solidFill>
          </w14:textFill>
        </w:rPr>
        <w:t>项目外排废水主要为地面冲洗水、生活污水和初期雨水。本项目废水经铁芬顿一体化反应沉淀槽处理后通过园区污水管网排放至金沙湾工业园污水处理厂，污水处理厂尾水排入长江</w:t>
      </w:r>
      <w:r>
        <w:rPr>
          <w:rFonts w:hint="eastAsia"/>
          <w:color w:val="000000" w:themeColor="text1"/>
          <w:kern w:val="0"/>
          <w:sz w:val="24"/>
          <w:lang w:eastAsia="zh-CN"/>
          <w14:textFill>
            <w14:solidFill>
              <w14:schemeClr w14:val="tx1"/>
            </w14:solidFill>
          </w14:textFill>
        </w:rPr>
        <w:t>。</w:t>
      </w:r>
    </w:p>
    <w:p>
      <w:pPr>
        <w:autoSpaceDE w:val="0"/>
        <w:autoSpaceDN w:val="0"/>
        <w:adjustRightInd w:val="0"/>
        <w:snapToGrid w:val="0"/>
        <w:spacing w:line="360" w:lineRule="auto"/>
        <w:ind w:firstLine="480" w:firstLineChars="200"/>
        <w:jc w:val="left"/>
        <w:rPr>
          <w:rFonts w:hint="eastAsia"/>
          <w:color w:val="000000" w:themeColor="text1"/>
          <w:kern w:val="0"/>
          <w:sz w:val="24"/>
          <w:lang w:eastAsia="zh-CN"/>
          <w14:textFill>
            <w14:solidFill>
              <w14:schemeClr w14:val="tx1"/>
            </w14:solidFill>
          </w14:textFill>
        </w:rPr>
      </w:pPr>
      <w:r>
        <w:rPr>
          <w:rFonts w:hint="eastAsia"/>
          <w:color w:val="000000" w:themeColor="text1"/>
          <w:kern w:val="0"/>
          <w:sz w:val="24"/>
          <w14:textFill>
            <w14:solidFill>
              <w14:schemeClr w14:val="tx1"/>
            </w14:solidFill>
          </w14:textFill>
        </w:rPr>
        <w:t>已设置截流措施、事故排放收集措施、雨水系统防控措施、生产废水处理系统防控措施</w:t>
      </w:r>
      <w:r>
        <w:rPr>
          <w:rFonts w:hint="eastAsia"/>
          <w:color w:val="000000" w:themeColor="text1"/>
          <w:kern w:val="0"/>
          <w:sz w:val="24"/>
          <w:lang w:eastAsia="zh-CN"/>
          <w14:textFill>
            <w14:solidFill>
              <w14:schemeClr w14:val="tx1"/>
            </w14:solidFill>
          </w14:textFill>
        </w:rPr>
        <w:t>。设置事故应急池</w:t>
      </w:r>
      <w:r>
        <w:rPr>
          <w:rFonts w:hint="eastAsia"/>
          <w:color w:val="000000" w:themeColor="text1"/>
          <w:kern w:val="0"/>
          <w:sz w:val="24"/>
          <w:lang w:val="en-US" w:eastAsia="zh-CN"/>
          <w14:textFill>
            <w14:solidFill>
              <w14:schemeClr w14:val="tx1"/>
            </w14:solidFill>
          </w14:textFill>
        </w:rPr>
        <w:t>兼初期雨水池408m</w:t>
      </w:r>
      <w:r>
        <w:rPr>
          <w:rFonts w:hint="eastAsia"/>
          <w:color w:val="000000" w:themeColor="text1"/>
          <w:kern w:val="0"/>
          <w:sz w:val="24"/>
          <w:vertAlign w:val="superscript"/>
          <w:lang w:val="en-US" w:eastAsia="zh-CN"/>
          <w14:textFill>
            <w14:solidFill>
              <w14:schemeClr w14:val="tx1"/>
            </w14:solidFill>
          </w14:textFill>
        </w:rPr>
        <w:t>3</w:t>
      </w:r>
      <w:r>
        <w:rPr>
          <w:rFonts w:hint="eastAsia"/>
          <w:color w:val="000000" w:themeColor="text1"/>
          <w:kern w:val="0"/>
          <w:sz w:val="24"/>
          <w:lang w:eastAsia="zh-CN"/>
          <w14:textFill>
            <w14:solidFill>
              <w14:schemeClr w14:val="tx1"/>
            </w14:solidFill>
          </w14:textFill>
        </w:rPr>
        <w:t>。</w:t>
      </w:r>
    </w:p>
    <w:p>
      <w:pPr>
        <w:autoSpaceDE w:val="0"/>
        <w:autoSpaceDN w:val="0"/>
        <w:adjustRightInd w:val="0"/>
        <w:snapToGrid w:val="0"/>
        <w:spacing w:line="360" w:lineRule="auto"/>
        <w:ind w:firstLine="480" w:firstLineChars="200"/>
        <w:jc w:val="left"/>
        <w:rPr>
          <w:rFonts w:hint="eastAsia"/>
          <w:color w:val="000000" w:themeColor="text1"/>
          <w:kern w:val="0"/>
          <w:sz w:val="24"/>
          <w14:textFill>
            <w14:solidFill>
              <w14:schemeClr w14:val="tx1"/>
            </w14:solidFill>
          </w14:textFill>
        </w:rPr>
      </w:pPr>
      <w:r>
        <w:rPr>
          <w:rFonts w:hint="eastAsia"/>
          <w:color w:val="000000" w:themeColor="text1"/>
          <w:kern w:val="0"/>
          <w:sz w:val="24"/>
          <w14:textFill>
            <w14:solidFill>
              <w14:schemeClr w14:val="tx1"/>
            </w14:solidFill>
          </w14:textFill>
        </w:rPr>
        <w:t>（2）废气污染控制措施</w:t>
      </w:r>
    </w:p>
    <w:p>
      <w:pPr>
        <w:autoSpaceDE w:val="0"/>
        <w:autoSpaceDN w:val="0"/>
        <w:adjustRightInd w:val="0"/>
        <w:snapToGrid w:val="0"/>
        <w:spacing w:line="360" w:lineRule="auto"/>
        <w:ind w:firstLine="480" w:firstLineChars="200"/>
        <w:jc w:val="left"/>
        <w:rPr>
          <w:rFonts w:hint="eastAsia"/>
          <w:color w:val="000000" w:themeColor="text1"/>
          <w:kern w:val="0"/>
          <w:sz w:val="24"/>
          <w14:textFill>
            <w14:solidFill>
              <w14:schemeClr w14:val="tx1"/>
            </w14:solidFill>
          </w14:textFill>
        </w:rPr>
      </w:pPr>
      <w:r>
        <w:rPr>
          <w:rFonts w:hint="default"/>
          <w:color w:val="000000" w:themeColor="text1"/>
          <w:kern w:val="0"/>
          <w:sz w:val="24"/>
          <w14:textFill>
            <w14:solidFill>
              <w14:schemeClr w14:val="tx1"/>
            </w14:solidFill>
          </w14:textFill>
        </w:rPr>
        <w:t>项目产生的废气主要为水性聚丙烯酸背涂乳液生产线废气、溶剂型乳液生产线废气。水性聚丙烯酸背涂乳液生产线废气、溶剂型乳液生产线废气</w:t>
      </w:r>
      <w:r>
        <w:rPr>
          <w:rFonts w:hint="default"/>
          <w:color w:val="000000" w:themeColor="text1"/>
          <w:kern w:val="0"/>
          <w:sz w:val="24"/>
          <w:lang w:val="en-US" w:eastAsia="zh-CN"/>
          <w14:textFill>
            <w14:solidFill>
              <w14:schemeClr w14:val="tx1"/>
            </w14:solidFill>
          </w14:textFill>
        </w:rPr>
        <w:t>和锂电池涂碳浆料生产线废气，</w:t>
      </w:r>
      <w:r>
        <w:rPr>
          <w:rFonts w:hint="default"/>
          <w:color w:val="000000" w:themeColor="text1"/>
          <w:kern w:val="0"/>
          <w:sz w:val="24"/>
          <w14:textFill>
            <w14:solidFill>
              <w14:schemeClr w14:val="tx1"/>
            </w14:solidFill>
          </w14:textFill>
        </w:rPr>
        <w:t>分别经</w:t>
      </w:r>
      <w:r>
        <w:rPr>
          <w:rFonts w:hint="default"/>
          <w:color w:val="000000" w:themeColor="text1"/>
          <w:kern w:val="0"/>
          <w:sz w:val="24"/>
          <w:lang w:val="en-US" w:eastAsia="zh-CN"/>
          <w14:textFill>
            <w14:solidFill>
              <w14:schemeClr w14:val="tx1"/>
            </w14:solidFill>
          </w14:textFill>
        </w:rPr>
        <w:t>布袋除尘器+</w:t>
      </w:r>
      <w:r>
        <w:rPr>
          <w:rFonts w:hint="default"/>
          <w:color w:val="000000" w:themeColor="text1"/>
          <w:kern w:val="0"/>
          <w:sz w:val="24"/>
          <w14:textFill>
            <w14:solidFill>
              <w14:schemeClr w14:val="tx1"/>
            </w14:solidFill>
          </w14:textFill>
        </w:rPr>
        <w:t>活性炭吸附装置+15m高排气筒1#、2#排放。</w:t>
      </w:r>
      <w:r>
        <w:rPr>
          <w:rFonts w:hint="default"/>
          <w:color w:val="000000" w:themeColor="text1"/>
          <w:kern w:val="0"/>
          <w:sz w:val="24"/>
          <w:lang w:val="en-US" w:eastAsia="zh-CN"/>
          <w14:textFill>
            <w14:solidFill>
              <w14:schemeClr w14:val="tx1"/>
            </w14:solidFill>
          </w14:textFill>
        </w:rPr>
        <w:t>投料粉尘、</w:t>
      </w:r>
      <w:r>
        <w:rPr>
          <w:rFonts w:hint="default"/>
          <w:color w:val="000000" w:themeColor="text1"/>
          <w:kern w:val="0"/>
          <w:sz w:val="24"/>
          <w:lang w:eastAsia="zh-CN"/>
          <w14:textFill>
            <w14:solidFill>
              <w14:schemeClr w14:val="tx1"/>
            </w14:solidFill>
          </w14:textFill>
        </w:rPr>
        <w:t>搅拌粉尘、</w:t>
      </w:r>
      <w:r>
        <w:rPr>
          <w:rFonts w:hint="default"/>
          <w:color w:val="000000" w:themeColor="text1"/>
          <w:kern w:val="0"/>
          <w:sz w:val="24"/>
          <w:lang w:val="en-US" w:eastAsia="zh-CN"/>
          <w14:textFill>
            <w14:solidFill>
              <w14:schemeClr w14:val="tx1"/>
            </w14:solidFill>
          </w14:textFill>
        </w:rPr>
        <w:t>研磨粉尘</w:t>
      </w:r>
      <w:r>
        <w:rPr>
          <w:rFonts w:hint="default"/>
          <w:color w:val="000000" w:themeColor="text1"/>
          <w:kern w:val="0"/>
          <w:sz w:val="24"/>
          <w:lang w:eastAsia="zh-CN"/>
          <w14:textFill>
            <w14:solidFill>
              <w14:schemeClr w14:val="tx1"/>
            </w14:solidFill>
          </w14:textFill>
        </w:rPr>
        <w:t>中颗粒物参照执行上海市《大气污染物综合排放标准》（DB31/933-2015）中排放浓度限值要求；</w:t>
      </w:r>
      <w:r>
        <w:rPr>
          <w:rFonts w:hint="default"/>
          <w:color w:val="000000" w:themeColor="text1"/>
          <w:kern w:val="0"/>
          <w:sz w:val="24"/>
          <w:lang w:val="en-US" w:eastAsia="zh-CN"/>
          <w14:textFill>
            <w14:solidFill>
              <w14:schemeClr w14:val="tx1"/>
            </w14:solidFill>
          </w14:textFill>
        </w:rPr>
        <w:t>搅拌</w:t>
      </w:r>
      <w:r>
        <w:rPr>
          <w:rFonts w:hint="default"/>
          <w:color w:val="000000" w:themeColor="text1"/>
          <w:kern w:val="0"/>
          <w:sz w:val="24"/>
          <w:lang w:eastAsia="zh-CN"/>
          <w14:textFill>
            <w14:solidFill>
              <w14:schemeClr w14:val="tx1"/>
            </w14:solidFill>
          </w14:textFill>
        </w:rPr>
        <w:t>废气、</w:t>
      </w:r>
      <w:r>
        <w:rPr>
          <w:rFonts w:hint="default"/>
          <w:color w:val="000000" w:themeColor="text1"/>
          <w:kern w:val="0"/>
          <w:sz w:val="24"/>
          <w:lang w:val="en-US" w:eastAsia="zh-CN"/>
          <w14:textFill>
            <w14:solidFill>
              <w14:schemeClr w14:val="tx1"/>
            </w14:solidFill>
          </w14:textFill>
        </w:rPr>
        <w:t>研磨</w:t>
      </w:r>
      <w:r>
        <w:rPr>
          <w:rFonts w:hint="default"/>
          <w:color w:val="000000" w:themeColor="text1"/>
          <w:kern w:val="0"/>
          <w:sz w:val="24"/>
          <w:lang w:eastAsia="zh-CN"/>
          <w14:textFill>
            <w14:solidFill>
              <w14:schemeClr w14:val="tx1"/>
            </w14:solidFill>
          </w14:textFill>
        </w:rPr>
        <w:t>废气</w:t>
      </w:r>
      <w:r>
        <w:rPr>
          <w:rFonts w:hint="default"/>
          <w:color w:val="000000" w:themeColor="text1"/>
          <w:kern w:val="0"/>
          <w:sz w:val="24"/>
          <w:lang w:val="en-US" w:eastAsia="zh-CN"/>
          <w14:textFill>
            <w14:solidFill>
              <w14:schemeClr w14:val="tx1"/>
            </w14:solidFill>
          </w14:textFill>
        </w:rPr>
        <w:t>参照</w:t>
      </w:r>
      <w:r>
        <w:rPr>
          <w:rFonts w:hint="default"/>
          <w:color w:val="000000" w:themeColor="text1"/>
          <w:kern w:val="0"/>
          <w:sz w:val="24"/>
          <w:lang w:eastAsia="zh-CN"/>
          <w14:textFill>
            <w14:solidFill>
              <w14:schemeClr w14:val="tx1"/>
            </w14:solidFill>
          </w14:textFill>
        </w:rPr>
        <w:t>执行</w:t>
      </w:r>
      <w:r>
        <w:rPr>
          <w:rFonts w:hint="default"/>
          <w:color w:val="000000" w:themeColor="text1"/>
          <w:kern w:val="0"/>
          <w:sz w:val="24"/>
          <w14:textFill>
            <w14:solidFill>
              <w14:schemeClr w14:val="tx1"/>
            </w14:solidFill>
          </w14:textFill>
        </w:rPr>
        <w:t>江西省地方标准《挥发性有机物排放标准</w:t>
      </w:r>
      <w:r>
        <w:rPr>
          <w:rFonts w:hint="default"/>
          <w:color w:val="000000" w:themeColor="text1"/>
          <w:kern w:val="0"/>
          <w:sz w:val="24"/>
          <w:lang w:val="en-US" w:eastAsia="zh-CN"/>
          <w14:textFill>
            <w14:solidFill>
              <w14:schemeClr w14:val="tx1"/>
            </w14:solidFill>
          </w14:textFill>
        </w:rPr>
        <w:t xml:space="preserve"> </w:t>
      </w:r>
      <w:r>
        <w:rPr>
          <w:rFonts w:hint="default"/>
          <w:color w:val="000000" w:themeColor="text1"/>
          <w:kern w:val="0"/>
          <w:sz w:val="24"/>
          <w14:textFill>
            <w14:solidFill>
              <w14:schemeClr w14:val="tx1"/>
            </w14:solidFill>
          </w14:textFill>
        </w:rPr>
        <w:t>第</w:t>
      </w:r>
      <w:r>
        <w:rPr>
          <w:rFonts w:hint="default"/>
          <w:color w:val="000000" w:themeColor="text1"/>
          <w:kern w:val="0"/>
          <w:sz w:val="24"/>
          <w:lang w:val="en-US" w:eastAsia="zh-CN"/>
          <w14:textFill>
            <w14:solidFill>
              <w14:schemeClr w14:val="tx1"/>
            </w14:solidFill>
          </w14:textFill>
        </w:rPr>
        <w:t>2</w:t>
      </w:r>
      <w:r>
        <w:rPr>
          <w:rFonts w:hint="default"/>
          <w:color w:val="000000" w:themeColor="text1"/>
          <w:kern w:val="0"/>
          <w:sz w:val="24"/>
          <w14:textFill>
            <w14:solidFill>
              <w14:schemeClr w14:val="tx1"/>
            </w14:solidFill>
          </w14:textFill>
        </w:rPr>
        <w:t>部分</w:t>
      </w:r>
      <w:r>
        <w:rPr>
          <w:rFonts w:hint="default"/>
          <w:color w:val="000000" w:themeColor="text1"/>
          <w:kern w:val="0"/>
          <w:sz w:val="24"/>
          <w:lang w:val="en-US" w:eastAsia="zh-CN"/>
          <w14:textFill>
            <w14:solidFill>
              <w14:schemeClr w14:val="tx1"/>
            </w14:solidFill>
          </w14:textFill>
        </w:rPr>
        <w:t xml:space="preserve"> 有机化工行业</w:t>
      </w:r>
      <w:r>
        <w:rPr>
          <w:rFonts w:hint="default"/>
          <w:color w:val="000000" w:themeColor="text1"/>
          <w:kern w:val="0"/>
          <w:sz w:val="24"/>
          <w14:textFill>
            <w14:solidFill>
              <w14:schemeClr w14:val="tx1"/>
            </w14:solidFill>
          </w14:textFill>
        </w:rPr>
        <w:t>》（DB36/1101.</w:t>
      </w:r>
      <w:r>
        <w:rPr>
          <w:rFonts w:hint="default"/>
          <w:color w:val="000000" w:themeColor="text1"/>
          <w:kern w:val="0"/>
          <w:sz w:val="24"/>
          <w:lang w:val="en-US" w:eastAsia="zh-CN"/>
          <w14:textFill>
            <w14:solidFill>
              <w14:schemeClr w14:val="tx1"/>
            </w14:solidFill>
          </w14:textFill>
        </w:rPr>
        <w:t>2</w:t>
      </w:r>
      <w:r>
        <w:rPr>
          <w:rFonts w:hint="default"/>
          <w:color w:val="000000" w:themeColor="text1"/>
          <w:kern w:val="0"/>
          <w:sz w:val="24"/>
          <w14:textFill>
            <w14:solidFill>
              <w14:schemeClr w14:val="tx1"/>
            </w14:solidFill>
          </w14:textFill>
        </w:rPr>
        <w:t>-2019）</w:t>
      </w:r>
      <w:r>
        <w:rPr>
          <w:rFonts w:hint="default"/>
          <w:color w:val="000000" w:themeColor="text1"/>
          <w:kern w:val="0"/>
          <w:sz w:val="24"/>
          <w:lang w:eastAsia="zh-CN"/>
          <w14:textFill>
            <w14:solidFill>
              <w14:schemeClr w14:val="tx1"/>
            </w14:solidFill>
          </w14:textFill>
        </w:rPr>
        <w:t>中排放</w:t>
      </w:r>
      <w:r>
        <w:rPr>
          <w:rFonts w:hint="default"/>
          <w:color w:val="000000" w:themeColor="text1"/>
          <w:kern w:val="0"/>
          <w:sz w:val="24"/>
          <w14:textFill>
            <w14:solidFill>
              <w14:schemeClr w14:val="tx1"/>
            </w14:solidFill>
          </w14:textFill>
        </w:rPr>
        <w:t>浓度限值要求，氨排放执行《恶臭（异味）污染物排放标准DB31/1025—2016》排放标准</w:t>
      </w:r>
      <w:r>
        <w:rPr>
          <w:rFonts w:hint="default"/>
          <w:color w:val="000000" w:themeColor="text1"/>
          <w:kern w:val="0"/>
          <w:sz w:val="24"/>
          <w:lang w:eastAsia="zh-CN"/>
          <w14:textFill>
            <w14:solidFill>
              <w14:schemeClr w14:val="tx1"/>
            </w14:solidFill>
          </w14:textFill>
        </w:rPr>
        <w:t>。</w:t>
      </w:r>
    </w:p>
    <w:p>
      <w:pPr>
        <w:snapToGrid w:val="0"/>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3、</w:t>
      </w:r>
      <w:r>
        <w:rPr>
          <w:color w:val="000000" w:themeColor="text1"/>
          <w:sz w:val="24"/>
          <w14:textFill>
            <w14:solidFill>
              <w14:schemeClr w14:val="tx1"/>
            </w14:solidFill>
          </w14:textFill>
        </w:rPr>
        <w:t>固废</w:t>
      </w:r>
    </w:p>
    <w:p>
      <w:pPr>
        <w:autoSpaceDE w:val="0"/>
        <w:autoSpaceDN w:val="0"/>
        <w:adjustRightInd w:val="0"/>
        <w:snapToGrid w:val="0"/>
        <w:spacing w:line="360" w:lineRule="auto"/>
        <w:ind w:firstLine="480" w:firstLineChars="200"/>
        <w:jc w:val="left"/>
        <w:rPr>
          <w:rFonts w:hint="default"/>
          <w:color w:val="000000" w:themeColor="text1"/>
          <w:kern w:val="0"/>
          <w:sz w:val="24"/>
          <w14:textFill>
            <w14:solidFill>
              <w14:schemeClr w14:val="tx1"/>
            </w14:solidFill>
          </w14:textFill>
        </w:rPr>
      </w:pPr>
      <w:r>
        <w:rPr>
          <w:rFonts w:hint="default"/>
          <w:color w:val="000000" w:themeColor="text1"/>
          <w:kern w:val="0"/>
          <w:sz w:val="24"/>
          <w14:textFill>
            <w14:solidFill>
              <w14:schemeClr w14:val="tx1"/>
            </w14:solidFill>
          </w14:textFill>
        </w:rPr>
        <w:t>项目产生的固体废物主要是生产过程中产生的原材料包装袋和包装桶、废活性炭、滤渣以及生活垃圾。</w:t>
      </w:r>
    </w:p>
    <w:p>
      <w:pPr>
        <w:autoSpaceDE w:val="0"/>
        <w:autoSpaceDN w:val="0"/>
        <w:adjustRightInd w:val="0"/>
        <w:snapToGrid w:val="0"/>
        <w:spacing w:line="360" w:lineRule="auto"/>
        <w:ind w:firstLine="480" w:firstLineChars="200"/>
        <w:jc w:val="left"/>
        <w:rPr>
          <w:rFonts w:hint="default"/>
          <w:color w:val="000000" w:themeColor="text1"/>
          <w:kern w:val="0"/>
          <w:sz w:val="24"/>
          <w14:textFill>
            <w14:solidFill>
              <w14:schemeClr w14:val="tx1"/>
            </w14:solidFill>
          </w14:textFill>
        </w:rPr>
      </w:pPr>
      <w:r>
        <w:rPr>
          <w:rFonts w:hint="default"/>
          <w:color w:val="000000" w:themeColor="text1"/>
          <w:kern w:val="0"/>
          <w:sz w:val="24"/>
          <w14:textFill>
            <w14:solidFill>
              <w14:schemeClr w14:val="tx1"/>
            </w14:solidFill>
          </w14:textFill>
        </w:rPr>
        <w:t>1、厂区内设置</w:t>
      </w:r>
      <w:r>
        <w:rPr>
          <w:rFonts w:hint="default"/>
          <w:color w:val="000000" w:themeColor="text1"/>
          <w:kern w:val="0"/>
          <w:sz w:val="24"/>
          <w:lang w:val="en-US" w:eastAsia="zh-CN"/>
          <w14:textFill>
            <w14:solidFill>
              <w14:schemeClr w14:val="tx1"/>
            </w14:solidFill>
          </w14:textFill>
        </w:rPr>
        <w:t>1</w:t>
      </w:r>
      <w:r>
        <w:rPr>
          <w:rFonts w:hint="default"/>
          <w:color w:val="000000" w:themeColor="text1"/>
          <w:kern w:val="0"/>
          <w:sz w:val="24"/>
          <w14:textFill>
            <w14:solidFill>
              <w14:schemeClr w14:val="tx1"/>
            </w14:solidFill>
          </w14:textFill>
        </w:rPr>
        <w:t>个约</w:t>
      </w:r>
      <w:r>
        <w:rPr>
          <w:rFonts w:hint="default"/>
          <w:color w:val="000000" w:themeColor="text1"/>
          <w:kern w:val="0"/>
          <w:sz w:val="24"/>
          <w:lang w:val="en-US" w:eastAsia="zh-CN"/>
          <w14:textFill>
            <w14:solidFill>
              <w14:schemeClr w14:val="tx1"/>
            </w14:solidFill>
          </w14:textFill>
        </w:rPr>
        <w:t>96</w:t>
      </w:r>
      <w:r>
        <w:rPr>
          <w:rFonts w:hint="default"/>
          <w:color w:val="000000" w:themeColor="text1"/>
          <w:kern w:val="0"/>
          <w:sz w:val="24"/>
          <w14:textFill>
            <w14:solidFill>
              <w14:schemeClr w14:val="tx1"/>
            </w14:solidFill>
          </w14:textFill>
        </w:rPr>
        <w:t>m</w:t>
      </w:r>
      <w:r>
        <w:rPr>
          <w:rFonts w:hint="default"/>
          <w:color w:val="000000" w:themeColor="text1"/>
          <w:kern w:val="0"/>
          <w:sz w:val="24"/>
          <w:vertAlign w:val="superscript"/>
          <w14:textFill>
            <w14:solidFill>
              <w14:schemeClr w14:val="tx1"/>
            </w14:solidFill>
          </w14:textFill>
        </w:rPr>
        <w:t>2</w:t>
      </w:r>
      <w:r>
        <w:rPr>
          <w:rFonts w:hint="default"/>
          <w:color w:val="000000" w:themeColor="text1"/>
          <w:kern w:val="0"/>
          <w:sz w:val="24"/>
          <w14:textFill>
            <w14:solidFill>
              <w14:schemeClr w14:val="tx1"/>
            </w14:solidFill>
          </w14:textFill>
        </w:rPr>
        <w:t>的危废仓库，</w:t>
      </w:r>
      <w:r>
        <w:rPr>
          <w:rFonts w:hint="default"/>
          <w:color w:val="000000" w:themeColor="text1"/>
          <w:kern w:val="0"/>
          <w:sz w:val="24"/>
          <w:lang w:val="en-US" w:eastAsia="zh-CN"/>
          <w14:textFill>
            <w14:solidFill>
              <w14:schemeClr w14:val="tx1"/>
            </w14:solidFill>
          </w14:textFill>
        </w:rPr>
        <w:t>1</w:t>
      </w:r>
      <w:r>
        <w:rPr>
          <w:rFonts w:hint="default"/>
          <w:color w:val="000000" w:themeColor="text1"/>
          <w:kern w:val="0"/>
          <w:sz w:val="24"/>
          <w14:textFill>
            <w14:solidFill>
              <w14:schemeClr w14:val="tx1"/>
            </w14:solidFill>
          </w14:textFill>
        </w:rPr>
        <w:t>个约22</w:t>
      </w:r>
      <w:r>
        <w:rPr>
          <w:rFonts w:hint="default"/>
          <w:color w:val="000000" w:themeColor="text1"/>
          <w:kern w:val="0"/>
          <w:sz w:val="24"/>
          <w:lang w:val="en-US" w:eastAsia="zh-CN"/>
          <w14:textFill>
            <w14:solidFill>
              <w14:schemeClr w14:val="tx1"/>
            </w14:solidFill>
          </w14:textFill>
        </w:rPr>
        <w:t>.75</w:t>
      </w:r>
      <w:r>
        <w:rPr>
          <w:rFonts w:hint="default"/>
          <w:color w:val="000000" w:themeColor="text1"/>
          <w:kern w:val="0"/>
          <w:sz w:val="24"/>
          <w14:textFill>
            <w14:solidFill>
              <w14:schemeClr w14:val="tx1"/>
            </w14:solidFill>
          </w14:textFill>
        </w:rPr>
        <w:t>m</w:t>
      </w:r>
      <w:r>
        <w:rPr>
          <w:rFonts w:hint="default"/>
          <w:color w:val="000000" w:themeColor="text1"/>
          <w:kern w:val="0"/>
          <w:sz w:val="24"/>
          <w:vertAlign w:val="superscript"/>
          <w14:textFill>
            <w14:solidFill>
              <w14:schemeClr w14:val="tx1"/>
            </w14:solidFill>
          </w14:textFill>
        </w:rPr>
        <w:t>2</w:t>
      </w:r>
      <w:r>
        <w:rPr>
          <w:rFonts w:hint="default"/>
          <w:color w:val="000000" w:themeColor="text1"/>
          <w:kern w:val="0"/>
          <w:sz w:val="24"/>
          <w14:textFill>
            <w14:solidFill>
              <w14:schemeClr w14:val="tx1"/>
            </w14:solidFill>
          </w14:textFill>
        </w:rPr>
        <w:t>的一般固废仓库，危废仓库地面及墙体铺设有环氧地坪树脂。</w:t>
      </w:r>
    </w:p>
    <w:p>
      <w:pPr>
        <w:autoSpaceDE w:val="0"/>
        <w:autoSpaceDN w:val="0"/>
        <w:adjustRightInd w:val="0"/>
        <w:snapToGrid w:val="0"/>
        <w:spacing w:line="360" w:lineRule="auto"/>
        <w:ind w:firstLine="480" w:firstLineChars="200"/>
        <w:jc w:val="left"/>
        <w:rPr>
          <w:rFonts w:hint="default"/>
          <w:color w:val="000000" w:themeColor="text1"/>
          <w:kern w:val="0"/>
          <w:sz w:val="24"/>
          <w:lang w:eastAsia="zh-CN"/>
          <w14:textFill>
            <w14:solidFill>
              <w14:schemeClr w14:val="tx1"/>
            </w14:solidFill>
          </w14:textFill>
        </w:rPr>
      </w:pPr>
      <w:r>
        <w:rPr>
          <w:rFonts w:hint="default"/>
          <w:color w:val="000000" w:themeColor="text1"/>
          <w:kern w:val="0"/>
          <w:sz w:val="24"/>
          <w14:textFill>
            <w14:solidFill>
              <w14:schemeClr w14:val="tx1"/>
            </w14:solidFill>
          </w14:textFill>
        </w:rPr>
        <w:t>2、厂区内设置有生活垃圾收集点</w:t>
      </w:r>
      <w:r>
        <w:rPr>
          <w:rFonts w:hint="default"/>
          <w:color w:val="000000" w:themeColor="text1"/>
          <w:kern w:val="0"/>
          <w:sz w:val="24"/>
          <w:lang w:eastAsia="zh-CN"/>
          <w14:textFill>
            <w14:solidFill>
              <w14:schemeClr w14:val="tx1"/>
            </w14:solidFill>
          </w14:textFill>
        </w:rPr>
        <w:t>。</w:t>
      </w:r>
    </w:p>
    <w:p>
      <w:pPr>
        <w:autoSpaceDE w:val="0"/>
        <w:autoSpaceDN w:val="0"/>
        <w:adjustRightInd w:val="0"/>
        <w:snapToGrid w:val="0"/>
        <w:spacing w:line="360" w:lineRule="auto"/>
        <w:ind w:firstLine="480" w:firstLineChars="200"/>
        <w:jc w:val="left"/>
        <w:rPr>
          <w:rFonts w:hint="eastAsia"/>
          <w:color w:val="000000" w:themeColor="text1"/>
          <w:kern w:val="0"/>
          <w:sz w:val="24"/>
          <w:lang w:val="zh-CN"/>
          <w14:textFill>
            <w14:solidFill>
              <w14:schemeClr w14:val="tx1"/>
            </w14:solidFill>
          </w14:textFill>
        </w:rPr>
      </w:pPr>
      <w:r>
        <w:rPr>
          <w:rFonts w:hint="default"/>
          <w:color w:val="000000" w:themeColor="text1"/>
          <w:kern w:val="0"/>
          <w:sz w:val="24"/>
          <w14:textFill>
            <w14:solidFill>
              <w14:schemeClr w14:val="tx1"/>
            </w14:solidFill>
          </w14:textFill>
        </w:rPr>
        <w:t>原料包装袋、废活性炭、滤渣属于危险废物，交由江西东江环保技术有限公司收集处置，原料包装桶由原料厂商回收处理，生活垃圾由环卫部门收集处理。</w:t>
      </w:r>
    </w:p>
    <w:p>
      <w:pPr>
        <w:snapToGrid w:val="0"/>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lang w:val="en-US" w:eastAsia="zh-CN"/>
          <w14:textFill>
            <w14:solidFill>
              <w14:schemeClr w14:val="tx1"/>
            </w14:solidFill>
          </w14:textFill>
        </w:rPr>
        <w:t>4</w:t>
      </w:r>
      <w:r>
        <w:rPr>
          <w:rFonts w:hint="eastAsia"/>
          <w:color w:val="000000" w:themeColor="text1"/>
          <w:sz w:val="24"/>
          <w14:textFill>
            <w14:solidFill>
              <w14:schemeClr w14:val="tx1"/>
            </w14:solidFill>
          </w14:textFill>
        </w:rPr>
        <w:t>、</w:t>
      </w:r>
      <w:r>
        <w:rPr>
          <w:color w:val="000000" w:themeColor="text1"/>
          <w:sz w:val="24"/>
          <w14:textFill>
            <w14:solidFill>
              <w14:schemeClr w14:val="tx1"/>
            </w14:solidFill>
          </w14:textFill>
        </w:rPr>
        <w:t>应急组织机构</w:t>
      </w:r>
    </w:p>
    <w:p>
      <w:pPr>
        <w:snapToGrid w:val="0"/>
        <w:spacing w:line="360" w:lineRule="auto"/>
        <w:ind w:firstLine="480"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公司成立应急救援指挥领导队伍，成立“现场应急指挥部”，指挥部成员由公司总经理及副总经理组成担任。在应急救援总指挥统一领导下，下设</w:t>
      </w:r>
      <w:r>
        <w:rPr>
          <w:rFonts w:hint="eastAsia"/>
          <w:color w:val="000000" w:themeColor="text1"/>
          <w:sz w:val="24"/>
          <w:lang w:eastAsia="zh-CN"/>
          <w14:textFill>
            <w14:solidFill>
              <w14:schemeClr w14:val="tx1"/>
            </w14:solidFill>
          </w14:textFill>
        </w:rPr>
        <w:t>现场处置组</w:t>
      </w:r>
      <w:r>
        <w:rPr>
          <w:color w:val="000000" w:themeColor="text1"/>
          <w:sz w:val="24"/>
          <w14:textFill>
            <w14:solidFill>
              <w14:schemeClr w14:val="tx1"/>
            </w14:solidFill>
          </w14:textFill>
        </w:rPr>
        <w:t>、医疗救护组、物资保障组、警戒疏散组、通讯联络组、环境应急监测组、事故调查组共7个行动小组。各个部门人员日常在各自的工作岗位上工作，当发生异常情况时各小组均应迅速到达各自的应急岗位履行各自的职责。</w:t>
      </w:r>
    </w:p>
    <w:p>
      <w:pPr>
        <w:snapToGrid w:val="0"/>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公司</w:t>
      </w:r>
      <w:r>
        <w:rPr>
          <w:color w:val="000000" w:themeColor="text1"/>
          <w:sz w:val="24"/>
          <w14:textFill>
            <w14:solidFill>
              <w14:schemeClr w14:val="tx1"/>
            </w14:solidFill>
          </w14:textFill>
        </w:rPr>
        <w:t>可聘请相关环境应急专家库专家组成技术专家组，对突发环境事件应急救援提出科学合理建议，为现场指挥救援提供技术咨询。</w:t>
      </w:r>
    </w:p>
    <w:p>
      <w:pPr>
        <w:snapToGrid w:val="0"/>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lang w:val="en-US" w:eastAsia="zh-CN"/>
          <w14:textFill>
            <w14:solidFill>
              <w14:schemeClr w14:val="tx1"/>
            </w14:solidFill>
          </w14:textFill>
        </w:rPr>
        <w:t>5</w:t>
      </w:r>
      <w:r>
        <w:rPr>
          <w:rFonts w:hint="eastAsia"/>
          <w:color w:val="000000" w:themeColor="text1"/>
          <w:sz w:val="24"/>
          <w14:textFill>
            <w14:solidFill>
              <w14:schemeClr w14:val="tx1"/>
            </w14:solidFill>
          </w14:textFill>
        </w:rPr>
        <w:t>、</w:t>
      </w:r>
      <w:r>
        <w:rPr>
          <w:color w:val="000000" w:themeColor="text1"/>
          <w:sz w:val="24"/>
          <w14:textFill>
            <w14:solidFill>
              <w14:schemeClr w14:val="tx1"/>
            </w14:solidFill>
          </w14:textFill>
        </w:rPr>
        <w:t>预案分级</w:t>
      </w:r>
    </w:p>
    <w:p>
      <w:pPr>
        <w:snapToGrid w:val="0"/>
        <w:spacing w:line="360" w:lineRule="auto"/>
        <w:ind w:firstLine="480"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按照突发环境事故的严重性、紧急程度和可能涉及的范围，将突发环境事故的预警级别分为三级，预警级别由</w:t>
      </w:r>
      <w:r>
        <w:rPr>
          <w:rFonts w:hint="eastAsia"/>
          <w:color w:val="000000" w:themeColor="text1"/>
          <w:sz w:val="24"/>
          <w14:textFill>
            <w14:solidFill>
              <w14:schemeClr w14:val="tx1"/>
            </w14:solidFill>
          </w14:textFill>
        </w:rPr>
        <w:t>低</w:t>
      </w:r>
      <w:r>
        <w:rPr>
          <w:color w:val="000000" w:themeColor="text1"/>
          <w:sz w:val="24"/>
          <w14:textFill>
            <w14:solidFill>
              <w14:schemeClr w14:val="tx1"/>
            </w14:solidFill>
          </w14:textFill>
        </w:rPr>
        <w:t>到高。根据事态的发展情况和采取措施的效果，预警级别可以升级、降级或解除。</w:t>
      </w:r>
    </w:p>
    <w:p>
      <w:pPr>
        <w:snapToGrid w:val="0"/>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lang w:val="en-US" w:eastAsia="zh-CN"/>
          <w14:textFill>
            <w14:solidFill>
              <w14:schemeClr w14:val="tx1"/>
            </w14:solidFill>
          </w14:textFill>
        </w:rPr>
        <w:t>6</w:t>
      </w:r>
      <w:r>
        <w:rPr>
          <w:rFonts w:hint="eastAsia"/>
          <w:color w:val="000000" w:themeColor="text1"/>
          <w:sz w:val="24"/>
          <w14:textFill>
            <w14:solidFill>
              <w14:schemeClr w14:val="tx1"/>
            </w14:solidFill>
          </w14:textFill>
        </w:rPr>
        <w:t>、</w:t>
      </w:r>
      <w:r>
        <w:rPr>
          <w:color w:val="000000" w:themeColor="text1"/>
          <w:sz w:val="24"/>
          <w14:textFill>
            <w14:solidFill>
              <w14:schemeClr w14:val="tx1"/>
            </w14:solidFill>
          </w14:textFill>
        </w:rPr>
        <w:t>事故报告与信息上报</w:t>
      </w:r>
    </w:p>
    <w:p>
      <w:pPr>
        <w:snapToGrid w:val="0"/>
        <w:spacing w:line="360" w:lineRule="auto"/>
        <w:ind w:firstLine="480"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当</w:t>
      </w:r>
      <w:r>
        <w:rPr>
          <w:rFonts w:hint="eastAsia"/>
          <w:color w:val="000000" w:themeColor="text1"/>
          <w:sz w:val="24"/>
          <w14:textFill>
            <w14:solidFill>
              <w14:schemeClr w14:val="tx1"/>
            </w14:solidFill>
          </w14:textFill>
        </w:rPr>
        <w:t>公司</w:t>
      </w:r>
      <w:r>
        <w:rPr>
          <w:color w:val="000000" w:themeColor="text1"/>
          <w:sz w:val="24"/>
          <w14:textFill>
            <w14:solidFill>
              <w14:schemeClr w14:val="tx1"/>
            </w14:solidFill>
          </w14:textFill>
        </w:rPr>
        <w:t>发生突发环境事故时，第一发现者应立即报告事故发生部门负责人</w:t>
      </w:r>
      <w:r>
        <w:rPr>
          <w:rFonts w:hint="eastAsia"/>
          <w:color w:val="000000" w:themeColor="text1"/>
          <w:sz w:val="24"/>
          <w14:textFill>
            <w14:solidFill>
              <w14:schemeClr w14:val="tx1"/>
            </w14:solidFill>
          </w14:textFill>
        </w:rPr>
        <w:t>或值班领导</w:t>
      </w:r>
      <w:r>
        <w:rPr>
          <w:color w:val="000000" w:themeColor="text1"/>
          <w:sz w:val="24"/>
          <w14:textFill>
            <w14:solidFill>
              <w14:schemeClr w14:val="tx1"/>
            </w14:solidFill>
          </w14:textFill>
        </w:rPr>
        <w:t>，事故发生部门负责人</w:t>
      </w:r>
      <w:r>
        <w:rPr>
          <w:rFonts w:hint="eastAsia"/>
          <w:color w:val="000000" w:themeColor="text1"/>
          <w:sz w:val="24"/>
          <w14:textFill>
            <w14:solidFill>
              <w14:schemeClr w14:val="tx1"/>
            </w14:solidFill>
          </w14:textFill>
        </w:rPr>
        <w:t>或值班领导</w:t>
      </w:r>
      <w:r>
        <w:rPr>
          <w:color w:val="000000" w:themeColor="text1"/>
          <w:sz w:val="24"/>
          <w14:textFill>
            <w14:solidFill>
              <w14:schemeClr w14:val="tx1"/>
            </w14:solidFill>
          </w14:textFill>
        </w:rPr>
        <w:t>报告应急办公室，紧急情况时第一发现者可直接报告应急办公室。</w:t>
      </w:r>
    </w:p>
    <w:p>
      <w:pPr>
        <w:snapToGrid w:val="0"/>
        <w:spacing w:line="360" w:lineRule="auto"/>
        <w:ind w:firstLine="480"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应急办公室值班人员接到报告后，应迅速通知有关部门，报告应急指挥部，启动应急救援程序，通知救援小组迅速赶赴事故现场。</w:t>
      </w:r>
    </w:p>
    <w:p>
      <w:pPr>
        <w:snapToGrid w:val="0"/>
        <w:spacing w:line="360" w:lineRule="auto"/>
        <w:ind w:firstLine="480"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事故发生部门负责人向上级部门汇报的同时，立即组织现场人员在保证自身安全的前提下采取控制措施，最大程度降低事故危害，组织自救。</w:t>
      </w:r>
    </w:p>
    <w:p>
      <w:pPr>
        <w:snapToGrid w:val="0"/>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公司</w:t>
      </w:r>
      <w:r>
        <w:rPr>
          <w:color w:val="000000" w:themeColor="text1"/>
          <w:sz w:val="24"/>
          <w14:textFill>
            <w14:solidFill>
              <w14:schemeClr w14:val="tx1"/>
            </w14:solidFill>
          </w14:textFill>
        </w:rPr>
        <w:t>发生</w:t>
      </w:r>
      <w:r>
        <w:rPr>
          <w:rFonts w:hint="eastAsia"/>
          <w:color w:val="000000" w:themeColor="text1"/>
          <w:sz w:val="24"/>
          <w14:textFill>
            <w14:solidFill>
              <w14:schemeClr w14:val="tx1"/>
            </w14:solidFill>
          </w14:textFill>
        </w:rPr>
        <w:t>Ⅰ</w:t>
      </w:r>
      <w:r>
        <w:rPr>
          <w:color w:val="000000" w:themeColor="text1"/>
          <w:sz w:val="24"/>
          <w14:textFill>
            <w14:solidFill>
              <w14:schemeClr w14:val="tx1"/>
            </w14:solidFill>
          </w14:textFill>
        </w:rPr>
        <w:t>级突发环境事件难以自行处理，除执行内部报告外，还须在半小时之内将事件的详细情况汇报给九江市永修</w:t>
      </w:r>
      <w:r>
        <w:rPr>
          <w:rFonts w:hint="eastAsia"/>
          <w:color w:val="000000" w:themeColor="text1"/>
          <w:sz w:val="24"/>
          <w14:textFill>
            <w14:solidFill>
              <w14:schemeClr w14:val="tx1"/>
            </w14:solidFill>
          </w14:textFill>
        </w:rPr>
        <w:t>生态环境局、工业园</w:t>
      </w:r>
      <w:r>
        <w:rPr>
          <w:rFonts w:hint="eastAsia"/>
          <w:color w:val="000000" w:themeColor="text1"/>
          <w:sz w:val="24"/>
          <w:lang w:val="en-US" w:eastAsia="zh-CN"/>
          <w14:textFill>
            <w14:solidFill>
              <w14:schemeClr w14:val="tx1"/>
            </w14:solidFill>
          </w14:textFill>
        </w:rPr>
        <w:t>管委会</w:t>
      </w:r>
      <w:r>
        <w:rPr>
          <w:color w:val="000000" w:themeColor="text1"/>
          <w:sz w:val="24"/>
          <w14:textFill>
            <w14:solidFill>
              <w14:schemeClr w14:val="tx1"/>
            </w14:solidFill>
          </w14:textFill>
        </w:rPr>
        <w:t>，请求援助以控制事故的发展扩大。紧急情况下，可以越级上报，隐瞒不报将受到相应的行政处罚或刑事处罚。需要向社会和周边发布警报时，由应急指挥部向政府以及周边单位通报警报消息。总指挥根据现场应急情况，及时发现事故可能影响</w:t>
      </w:r>
      <w:r>
        <w:rPr>
          <w:rFonts w:hint="eastAsia"/>
          <w:color w:val="000000" w:themeColor="text1"/>
          <w:sz w:val="24"/>
          <w14:textFill>
            <w14:solidFill>
              <w14:schemeClr w14:val="tx1"/>
            </w14:solidFill>
          </w14:textFill>
        </w:rPr>
        <w:t>公司</w:t>
      </w:r>
      <w:r>
        <w:rPr>
          <w:color w:val="000000" w:themeColor="text1"/>
          <w:sz w:val="24"/>
          <w14:textFill>
            <w14:solidFill>
              <w14:schemeClr w14:val="tx1"/>
            </w14:solidFill>
          </w14:textFill>
        </w:rPr>
        <w:t>周边群众的安全时，指挥应急指挥部直接联系政府以及周边单位负责人，发布消息，提出组织撤离或者请求援助要求。</w:t>
      </w:r>
    </w:p>
    <w:p>
      <w:pPr>
        <w:adjustRightInd w:val="0"/>
        <w:snapToGrid w:val="0"/>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lang w:val="en-US" w:eastAsia="zh-CN"/>
          <w14:textFill>
            <w14:solidFill>
              <w14:schemeClr w14:val="tx1"/>
            </w14:solidFill>
          </w14:textFill>
        </w:rPr>
        <w:t>7</w:t>
      </w:r>
      <w:r>
        <w:rPr>
          <w:rFonts w:hint="eastAsia"/>
          <w:color w:val="000000" w:themeColor="text1"/>
          <w:sz w:val="24"/>
          <w14:textFill>
            <w14:solidFill>
              <w14:schemeClr w14:val="tx1"/>
            </w14:solidFill>
          </w14:textFill>
        </w:rPr>
        <w:t>、</w:t>
      </w:r>
      <w:r>
        <w:rPr>
          <w:color w:val="000000" w:themeColor="text1"/>
          <w:sz w:val="24"/>
          <w14:textFill>
            <w14:solidFill>
              <w14:schemeClr w14:val="tx1"/>
            </w14:solidFill>
          </w14:textFill>
        </w:rPr>
        <w:t>应急保障</w:t>
      </w:r>
    </w:p>
    <w:p>
      <w:pPr>
        <w:adjustRightInd w:val="0"/>
        <w:snapToGrid w:val="0"/>
        <w:spacing w:line="360" w:lineRule="auto"/>
        <w:ind w:firstLine="480" w:firstLineChars="200"/>
        <w:rPr>
          <w:color w:val="000000" w:themeColor="text1"/>
          <w:kern w:val="0"/>
          <w:sz w:val="24"/>
          <w14:textFill>
            <w14:solidFill>
              <w14:schemeClr w14:val="tx1"/>
            </w14:solidFill>
          </w14:textFill>
        </w:rPr>
      </w:pPr>
      <w:r>
        <w:rPr>
          <w:rFonts w:hint="eastAsia"/>
          <w:color w:val="000000" w:themeColor="text1"/>
          <w:sz w:val="24"/>
          <w14:textFill>
            <w14:solidFill>
              <w14:schemeClr w14:val="tx1"/>
            </w14:solidFill>
          </w14:textFill>
        </w:rPr>
        <w:t>公司</w:t>
      </w:r>
      <w:r>
        <w:rPr>
          <w:color w:val="000000" w:themeColor="text1"/>
          <w:sz w:val="24"/>
          <w14:textFill>
            <w14:solidFill>
              <w14:schemeClr w14:val="tx1"/>
            </w14:solidFill>
          </w14:textFill>
        </w:rPr>
        <w:t>建立了</w:t>
      </w:r>
      <w:r>
        <w:rPr>
          <w:rFonts w:hint="eastAsia"/>
          <w:color w:val="000000" w:themeColor="text1"/>
          <w:sz w:val="24"/>
          <w14:textFill>
            <w14:solidFill>
              <w14:schemeClr w14:val="tx1"/>
            </w14:solidFill>
          </w14:textFill>
        </w:rPr>
        <w:t>较为</w:t>
      </w:r>
      <w:r>
        <w:rPr>
          <w:color w:val="000000" w:themeColor="text1"/>
          <w:sz w:val="24"/>
          <w14:textFill>
            <w14:solidFill>
              <w14:schemeClr w14:val="tx1"/>
            </w14:solidFill>
          </w14:textFill>
        </w:rPr>
        <w:t>完善的应急保障体系，完全可以满足突发事件发生时各方面的保障能力。保障体系包括：通信与</w:t>
      </w:r>
      <w:r>
        <w:rPr>
          <w:color w:val="000000" w:themeColor="text1"/>
          <w:kern w:val="0"/>
          <w:sz w:val="24"/>
          <w14:textFill>
            <w14:solidFill>
              <w14:schemeClr w14:val="tx1"/>
            </w14:solidFill>
          </w14:textFill>
        </w:rPr>
        <w:t>信息保障、应急队伍保障、应急物资装备保障、经费保障、交通运输保障、救援医疗保障、治安保障。</w:t>
      </w:r>
    </w:p>
    <w:p>
      <w:pPr>
        <w:autoSpaceDE w:val="0"/>
        <w:autoSpaceDN w:val="0"/>
        <w:adjustRightInd w:val="0"/>
        <w:snapToGrid w:val="0"/>
        <w:spacing w:line="360" w:lineRule="auto"/>
        <w:ind w:left="0" w:leftChars="0" w:firstLine="0" w:firstLineChars="0"/>
        <w:jc w:val="left"/>
        <w:outlineLvl w:val="0"/>
        <w:rPr>
          <w:b/>
          <w:kern w:val="0"/>
          <w:sz w:val="28"/>
          <w:szCs w:val="28"/>
        </w:rPr>
      </w:pPr>
      <w:r>
        <w:rPr>
          <w:b/>
          <w:kern w:val="0"/>
          <w:sz w:val="28"/>
          <w:szCs w:val="28"/>
        </w:rPr>
        <w:t>四、征求意见及采纳情况说明</w:t>
      </w:r>
      <w:bookmarkEnd w:id="11"/>
      <w:bookmarkEnd w:id="12"/>
    </w:p>
    <w:p>
      <w:pPr>
        <w:autoSpaceDE w:val="0"/>
        <w:autoSpaceDN w:val="0"/>
        <w:adjustRightInd w:val="0"/>
        <w:snapToGrid w:val="0"/>
        <w:spacing w:line="360" w:lineRule="auto"/>
        <w:ind w:firstLine="480" w:firstLineChars="200"/>
        <w:jc w:val="left"/>
        <w:rPr>
          <w:kern w:val="0"/>
          <w:sz w:val="24"/>
        </w:rPr>
      </w:pPr>
      <w:r>
        <w:rPr>
          <w:kern w:val="0"/>
          <w:sz w:val="24"/>
        </w:rPr>
        <w:t>为确保《预案》的编制更加全面、具体，在进行预案编制和内部审核时，邀请了员工代表和当地居民参与到编制和审核的工作中，并征求了他们的意见和建议。员工代表和当地居民未提出相关意见。</w:t>
      </w:r>
    </w:p>
    <w:p>
      <w:pPr>
        <w:numPr>
          <w:ilvl w:val="0"/>
          <w:numId w:val="0"/>
        </w:numPr>
        <w:autoSpaceDE w:val="0"/>
        <w:autoSpaceDN w:val="0"/>
        <w:adjustRightInd w:val="0"/>
        <w:snapToGrid w:val="0"/>
        <w:spacing w:line="360" w:lineRule="auto"/>
        <w:jc w:val="left"/>
        <w:outlineLvl w:val="0"/>
        <w:rPr>
          <w:b/>
          <w:kern w:val="0"/>
          <w:sz w:val="28"/>
          <w:szCs w:val="28"/>
        </w:rPr>
      </w:pPr>
      <w:bookmarkStart w:id="14" w:name="_Toc88665946"/>
      <w:bookmarkStart w:id="15" w:name="_Toc4217"/>
      <w:r>
        <w:rPr>
          <w:rFonts w:hint="eastAsia" w:ascii="Times New Roman" w:hAnsi="Times New Roman" w:eastAsia="宋体" w:cs="Times New Roman"/>
          <w:b/>
          <w:kern w:val="0"/>
          <w:sz w:val="28"/>
          <w:szCs w:val="28"/>
          <w:lang w:val="en-US" w:eastAsia="zh-CN" w:bidi="ar-SA"/>
        </w:rPr>
        <w:t>五、</w:t>
      </w:r>
      <w:r>
        <w:rPr>
          <w:b/>
          <w:kern w:val="0"/>
          <w:sz w:val="28"/>
          <w:szCs w:val="28"/>
        </w:rPr>
        <w:t>应急演练暴露问题及解决措施</w:t>
      </w:r>
      <w:bookmarkEnd w:id="14"/>
      <w:bookmarkEnd w:id="15"/>
    </w:p>
    <w:p>
      <w:pPr>
        <w:autoSpaceDE w:val="0"/>
        <w:autoSpaceDN w:val="0"/>
        <w:adjustRightInd w:val="0"/>
        <w:snapToGrid w:val="0"/>
        <w:spacing w:line="360" w:lineRule="auto"/>
        <w:ind w:firstLine="480" w:firstLineChars="200"/>
        <w:jc w:val="left"/>
        <w:rPr>
          <w:kern w:val="0"/>
          <w:sz w:val="24"/>
        </w:rPr>
      </w:pPr>
      <w:r>
        <w:rPr>
          <w:rFonts w:hint="eastAsia"/>
          <w:kern w:val="0"/>
          <w:sz w:val="24"/>
          <w:lang w:val="en-US" w:eastAsia="zh-CN"/>
        </w:rPr>
        <w:t>本公司与2023年10月9日进行了危险化学品泄露现场处置应急演练，</w:t>
      </w:r>
      <w:r>
        <w:rPr>
          <w:kern w:val="0"/>
          <w:sz w:val="24"/>
        </w:rPr>
        <w:t>通过采用功能演练，考验</w:t>
      </w:r>
      <w:r>
        <w:rPr>
          <w:rFonts w:hint="eastAsia"/>
          <w:kern w:val="0"/>
          <w:sz w:val="24"/>
        </w:rPr>
        <w:t>公司</w:t>
      </w:r>
      <w:r>
        <w:rPr>
          <w:kern w:val="0"/>
          <w:sz w:val="24"/>
        </w:rPr>
        <w:t>对突发环境事件的应急能力，暴露出以下问题：</w:t>
      </w:r>
    </w:p>
    <w:p>
      <w:pPr>
        <w:widowControl/>
        <w:snapToGrid w:val="0"/>
        <w:spacing w:line="360" w:lineRule="auto"/>
        <w:jc w:val="center"/>
        <w:rPr>
          <w:b/>
          <w:bCs/>
          <w:kern w:val="0"/>
          <w:szCs w:val="21"/>
        </w:rPr>
      </w:pPr>
      <w:r>
        <w:rPr>
          <w:b/>
          <w:bCs/>
          <w:kern w:val="0"/>
          <w:szCs w:val="21"/>
        </w:rPr>
        <w:t>突发环境事件应急预案现场演练中发现的问题及解决方案</w:t>
      </w:r>
    </w:p>
    <w:tbl>
      <w:tblPr>
        <w:tblStyle w:val="8"/>
        <w:tblW w:w="5000" w:type="pct"/>
        <w:tblInd w:w="0" w:type="dxa"/>
        <w:tblBorders>
          <w:top w:val="thinThickSmallGap" w:color="auto" w:sz="12" w:space="0"/>
          <w:left w:val="none" w:color="auto" w:sz="0" w:space="0"/>
          <w:bottom w:val="thinThickSmallGap"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3085"/>
        <w:gridCol w:w="3432"/>
        <w:gridCol w:w="2005"/>
      </w:tblGrid>
      <w:tr>
        <w:tblPrEx>
          <w:tblBorders>
            <w:top w:val="thinThickSmallGap" w:color="auto" w:sz="12" w:space="0"/>
            <w:left w:val="none" w:color="auto" w:sz="0" w:space="0"/>
            <w:bottom w:val="thinThickSmallGap"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085" w:type="dxa"/>
            <w:tcBorders>
              <w:tl2br w:val="nil"/>
              <w:tr2bl w:val="nil"/>
            </w:tcBorders>
            <w:shd w:val="clear" w:color="auto" w:fill="auto"/>
            <w:vAlign w:val="center"/>
          </w:tcPr>
          <w:p>
            <w:pPr>
              <w:widowControl/>
              <w:adjustRightInd/>
              <w:snapToGrid w:val="0"/>
              <w:spacing w:line="240" w:lineRule="auto"/>
              <w:ind w:firstLine="0" w:firstLineChars="0"/>
              <w:jc w:val="center"/>
              <w:rPr>
                <w:rFonts w:hint="eastAsia" w:ascii="Times New Roman" w:hAnsi="Times New Roman" w:eastAsia="宋体" w:cs="Times New Roman"/>
                <w:b/>
                <w:bCs/>
                <w:kern w:val="0"/>
                <w:szCs w:val="21"/>
                <w:lang w:val="en-US" w:eastAsia="zh-CN"/>
              </w:rPr>
            </w:pPr>
            <w:r>
              <w:rPr>
                <w:rFonts w:hint="eastAsia" w:ascii="Times New Roman" w:hAnsi="Times New Roman" w:eastAsia="宋体" w:cs="Times New Roman"/>
                <w:b/>
                <w:bCs/>
                <w:kern w:val="0"/>
                <w:szCs w:val="21"/>
                <w:lang w:val="en-US" w:eastAsia="zh-CN"/>
              </w:rPr>
              <w:t>问题</w:t>
            </w:r>
          </w:p>
        </w:tc>
        <w:tc>
          <w:tcPr>
            <w:tcW w:w="3432" w:type="dxa"/>
            <w:tcBorders>
              <w:tl2br w:val="nil"/>
              <w:tr2bl w:val="nil"/>
            </w:tcBorders>
            <w:shd w:val="clear" w:color="auto" w:fill="auto"/>
            <w:vAlign w:val="center"/>
          </w:tcPr>
          <w:p>
            <w:pPr>
              <w:widowControl/>
              <w:adjustRightInd/>
              <w:snapToGrid w:val="0"/>
              <w:spacing w:line="240" w:lineRule="auto"/>
              <w:ind w:firstLine="0" w:firstLineChars="0"/>
              <w:jc w:val="center"/>
              <w:rPr>
                <w:rFonts w:hint="eastAsia" w:ascii="Times New Roman" w:hAnsi="Times New Roman" w:eastAsia="宋体" w:cs="Times New Roman"/>
                <w:b/>
                <w:bCs/>
                <w:kern w:val="0"/>
                <w:szCs w:val="21"/>
                <w:lang w:val="en-US" w:eastAsia="zh-CN"/>
              </w:rPr>
            </w:pPr>
            <w:r>
              <w:rPr>
                <w:rFonts w:hint="eastAsia" w:ascii="Times New Roman" w:hAnsi="Times New Roman" w:eastAsia="宋体" w:cs="Times New Roman"/>
                <w:b/>
                <w:bCs/>
                <w:kern w:val="0"/>
                <w:szCs w:val="21"/>
                <w:lang w:val="en-US" w:eastAsia="zh-CN"/>
              </w:rPr>
              <w:t>解决方案</w:t>
            </w:r>
          </w:p>
        </w:tc>
        <w:tc>
          <w:tcPr>
            <w:tcW w:w="2005" w:type="dxa"/>
            <w:tcBorders>
              <w:tl2br w:val="nil"/>
              <w:tr2bl w:val="nil"/>
            </w:tcBorders>
            <w:vAlign w:val="center"/>
          </w:tcPr>
          <w:p>
            <w:pPr>
              <w:widowControl/>
              <w:adjustRightInd/>
              <w:snapToGrid w:val="0"/>
              <w:spacing w:line="240" w:lineRule="auto"/>
              <w:ind w:firstLine="0" w:firstLineChars="0"/>
              <w:jc w:val="center"/>
              <w:rPr>
                <w:rFonts w:hint="eastAsia" w:ascii="Times New Roman" w:hAnsi="Times New Roman" w:eastAsia="宋体" w:cs="Times New Roman"/>
                <w:b/>
                <w:bCs/>
                <w:kern w:val="0"/>
                <w:szCs w:val="21"/>
                <w:lang w:val="en-US" w:eastAsia="zh-CN"/>
              </w:rPr>
            </w:pPr>
            <w:r>
              <w:rPr>
                <w:rFonts w:hint="eastAsia" w:ascii="Times New Roman" w:hAnsi="Times New Roman" w:eastAsia="宋体" w:cs="Times New Roman"/>
                <w:b/>
                <w:bCs/>
                <w:kern w:val="0"/>
                <w:szCs w:val="21"/>
                <w:lang w:val="en-US" w:eastAsia="zh-CN"/>
              </w:rPr>
              <w:t>整改期限</w:t>
            </w:r>
          </w:p>
        </w:tc>
      </w:tr>
      <w:tr>
        <w:tblPrEx>
          <w:tblBorders>
            <w:top w:val="thinThickSmallGap" w:color="auto" w:sz="12" w:space="0"/>
            <w:left w:val="none" w:color="auto" w:sz="0" w:space="0"/>
            <w:bottom w:val="thinThickSmallGap"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085" w:type="dxa"/>
            <w:tcBorders>
              <w:tl2br w:val="nil"/>
              <w:tr2bl w:val="nil"/>
            </w:tcBorders>
            <w:shd w:val="clear" w:color="auto" w:fill="auto"/>
            <w:vAlign w:val="center"/>
          </w:tcPr>
          <w:p>
            <w:pPr>
              <w:pStyle w:val="14"/>
              <w:keepNext w:val="0"/>
              <w:keepLines w:val="0"/>
              <w:pageBreakBefore w:val="0"/>
              <w:widowControl w:val="0"/>
              <w:kinsoku/>
              <w:wordWrap/>
              <w:overflowPunct/>
              <w:topLinePunct w:val="0"/>
              <w:autoSpaceDE w:val="0"/>
              <w:autoSpaceDN w:val="0"/>
              <w:bidi w:val="0"/>
              <w:adjustRightInd w:val="0"/>
              <w:snapToGrid/>
              <w:spacing w:line="240" w:lineRule="atLeast"/>
              <w:jc w:val="center"/>
              <w:textAlignment w:val="auto"/>
              <w:rPr>
                <w:rFonts w:hint="default" w:ascii="宋体" w:hAnsi="Times New Roman" w:eastAsia="宋体" w:cs="宋体"/>
                <w:color w:val="auto"/>
                <w:sz w:val="20"/>
                <w:szCs w:val="20"/>
                <w:lang w:val="en-US" w:eastAsia="zh-CN"/>
              </w:rPr>
            </w:pPr>
            <w:r>
              <w:rPr>
                <w:rFonts w:hint="eastAsia" w:ascii="宋体" w:hAnsi="Times New Roman" w:eastAsia="宋体" w:cs="宋体"/>
                <w:color w:val="auto"/>
                <w:sz w:val="20"/>
                <w:szCs w:val="20"/>
                <w:lang w:val="en-US" w:eastAsia="zh-CN"/>
              </w:rPr>
              <w:t>演练前没有提前规划好逃生路线</w:t>
            </w:r>
          </w:p>
        </w:tc>
        <w:tc>
          <w:tcPr>
            <w:tcW w:w="3432" w:type="dxa"/>
            <w:tcBorders>
              <w:tl2br w:val="nil"/>
              <w:tr2bl w:val="nil"/>
            </w:tcBorders>
            <w:shd w:val="clear" w:color="auto" w:fill="auto"/>
            <w:vAlign w:val="center"/>
          </w:tcPr>
          <w:p>
            <w:pPr>
              <w:pStyle w:val="14"/>
              <w:keepNext w:val="0"/>
              <w:keepLines w:val="0"/>
              <w:pageBreakBefore w:val="0"/>
              <w:widowControl w:val="0"/>
              <w:kinsoku/>
              <w:wordWrap/>
              <w:overflowPunct/>
              <w:topLinePunct w:val="0"/>
              <w:autoSpaceDE w:val="0"/>
              <w:autoSpaceDN w:val="0"/>
              <w:bidi w:val="0"/>
              <w:adjustRightInd w:val="0"/>
              <w:snapToGrid/>
              <w:spacing w:line="240" w:lineRule="atLeast"/>
              <w:jc w:val="center"/>
              <w:textAlignment w:val="auto"/>
              <w:rPr>
                <w:rFonts w:hint="default" w:ascii="宋体" w:hAnsi="Times New Roman" w:eastAsia="宋体" w:cs="宋体"/>
                <w:color w:val="auto"/>
                <w:sz w:val="20"/>
                <w:szCs w:val="20"/>
                <w:lang w:val="en-US" w:eastAsia="zh-CN"/>
              </w:rPr>
            </w:pPr>
            <w:r>
              <w:rPr>
                <w:rFonts w:hint="eastAsia" w:ascii="宋体" w:hAnsi="Times New Roman" w:eastAsia="宋体" w:cs="宋体"/>
                <w:color w:val="auto"/>
                <w:sz w:val="20"/>
                <w:szCs w:val="20"/>
                <w:lang w:val="en-US" w:eastAsia="zh-CN"/>
              </w:rPr>
              <w:t>加强日常培训培训教育，明确所有的应急资源和应急通道的位置</w:t>
            </w:r>
          </w:p>
        </w:tc>
        <w:tc>
          <w:tcPr>
            <w:tcW w:w="2005" w:type="dxa"/>
            <w:tcBorders>
              <w:tl2br w:val="nil"/>
              <w:tr2bl w:val="nil"/>
            </w:tcBorders>
            <w:vAlign w:val="center"/>
          </w:tcPr>
          <w:p>
            <w:pPr>
              <w:pStyle w:val="14"/>
              <w:keepNext w:val="0"/>
              <w:keepLines w:val="0"/>
              <w:pageBreakBefore w:val="0"/>
              <w:widowControl w:val="0"/>
              <w:kinsoku/>
              <w:wordWrap/>
              <w:overflowPunct/>
              <w:topLinePunct w:val="0"/>
              <w:autoSpaceDE w:val="0"/>
              <w:autoSpaceDN w:val="0"/>
              <w:bidi w:val="0"/>
              <w:adjustRightInd w:val="0"/>
              <w:snapToGrid/>
              <w:spacing w:line="240" w:lineRule="atLeast"/>
              <w:jc w:val="center"/>
              <w:textAlignment w:val="auto"/>
              <w:rPr>
                <w:rFonts w:hint="eastAsia" w:ascii="宋体" w:hAnsi="Times New Roman" w:eastAsia="宋体" w:cs="宋体"/>
                <w:color w:val="auto"/>
                <w:sz w:val="20"/>
                <w:szCs w:val="20"/>
                <w:lang w:val="en-US" w:eastAsia="zh-CN"/>
              </w:rPr>
            </w:pPr>
            <w:r>
              <w:rPr>
                <w:rFonts w:hint="eastAsia" w:ascii="宋体" w:hAnsi="Times New Roman" w:eastAsia="宋体" w:cs="宋体"/>
                <w:color w:val="auto"/>
                <w:sz w:val="20"/>
                <w:szCs w:val="20"/>
                <w:lang w:val="en-US" w:eastAsia="zh-CN"/>
              </w:rPr>
              <w:t>3个月</w:t>
            </w:r>
          </w:p>
        </w:tc>
      </w:tr>
      <w:tr>
        <w:tblPrEx>
          <w:tblBorders>
            <w:top w:val="thinThickSmallGap" w:color="auto" w:sz="12" w:space="0"/>
            <w:left w:val="none" w:color="auto" w:sz="0" w:space="0"/>
            <w:bottom w:val="thinThickSmallGap"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085" w:type="dxa"/>
            <w:tcBorders>
              <w:tl2br w:val="nil"/>
              <w:tr2bl w:val="nil"/>
            </w:tcBorders>
            <w:shd w:val="clear" w:color="auto" w:fill="auto"/>
            <w:vAlign w:val="center"/>
          </w:tcPr>
          <w:p>
            <w:pPr>
              <w:pStyle w:val="14"/>
              <w:keepNext w:val="0"/>
              <w:keepLines w:val="0"/>
              <w:pageBreakBefore w:val="0"/>
              <w:widowControl w:val="0"/>
              <w:kinsoku/>
              <w:wordWrap/>
              <w:overflowPunct/>
              <w:topLinePunct w:val="0"/>
              <w:autoSpaceDE w:val="0"/>
              <w:autoSpaceDN w:val="0"/>
              <w:bidi w:val="0"/>
              <w:adjustRightInd w:val="0"/>
              <w:snapToGrid/>
              <w:spacing w:line="240" w:lineRule="atLeast"/>
              <w:jc w:val="center"/>
              <w:textAlignment w:val="auto"/>
              <w:rPr>
                <w:rFonts w:hint="default" w:ascii="宋体" w:hAnsi="Times New Roman" w:eastAsia="宋体" w:cs="宋体"/>
                <w:color w:val="auto"/>
                <w:sz w:val="20"/>
                <w:szCs w:val="20"/>
                <w:lang w:val="en-US" w:eastAsia="zh-CN"/>
              </w:rPr>
            </w:pPr>
            <w:r>
              <w:rPr>
                <w:rFonts w:hint="eastAsia" w:ascii="宋体" w:hAnsi="Times New Roman" w:eastAsia="宋体" w:cs="宋体"/>
                <w:color w:val="auto"/>
                <w:sz w:val="20"/>
                <w:szCs w:val="20"/>
                <w:lang w:val="en-US" w:eastAsia="zh-CN"/>
              </w:rPr>
              <w:t>演练时，救援人员没有穿戴好防护服和使用专用工具</w:t>
            </w:r>
          </w:p>
        </w:tc>
        <w:tc>
          <w:tcPr>
            <w:tcW w:w="3432" w:type="dxa"/>
            <w:tcBorders>
              <w:tl2br w:val="nil"/>
              <w:tr2bl w:val="nil"/>
            </w:tcBorders>
            <w:shd w:val="clear" w:color="auto" w:fill="auto"/>
            <w:vAlign w:val="center"/>
          </w:tcPr>
          <w:p>
            <w:pPr>
              <w:pStyle w:val="14"/>
              <w:keepNext w:val="0"/>
              <w:keepLines w:val="0"/>
              <w:pageBreakBefore w:val="0"/>
              <w:widowControl w:val="0"/>
              <w:kinsoku/>
              <w:wordWrap/>
              <w:overflowPunct/>
              <w:topLinePunct w:val="0"/>
              <w:autoSpaceDE w:val="0"/>
              <w:autoSpaceDN w:val="0"/>
              <w:bidi w:val="0"/>
              <w:adjustRightInd w:val="0"/>
              <w:snapToGrid/>
              <w:spacing w:line="240" w:lineRule="atLeast"/>
              <w:jc w:val="center"/>
              <w:textAlignment w:val="auto"/>
              <w:rPr>
                <w:rFonts w:hint="default" w:ascii="宋体" w:hAnsi="Times New Roman" w:eastAsia="宋体" w:cs="宋体"/>
                <w:color w:val="auto"/>
                <w:sz w:val="20"/>
                <w:szCs w:val="20"/>
                <w:lang w:val="en-US" w:eastAsia="zh-CN"/>
              </w:rPr>
            </w:pPr>
            <w:r>
              <w:rPr>
                <w:rFonts w:hint="default" w:ascii="宋体" w:hAnsi="Times New Roman" w:eastAsia="宋体" w:cs="宋体"/>
                <w:color w:val="auto"/>
                <w:sz w:val="20"/>
                <w:szCs w:val="20"/>
                <w:lang w:val="en-US" w:eastAsia="zh-CN"/>
              </w:rPr>
              <w:t>定期对救援人员进行安全教育和专业技能培训，使</w:t>
            </w:r>
            <w:r>
              <w:rPr>
                <w:rFonts w:hint="eastAsia" w:ascii="宋体" w:hAnsi="Times New Roman" w:eastAsia="宋体" w:cs="宋体"/>
                <w:color w:val="auto"/>
                <w:sz w:val="20"/>
                <w:szCs w:val="20"/>
                <w:lang w:val="en-US" w:eastAsia="zh-CN"/>
              </w:rPr>
              <w:t>救援人员</w:t>
            </w:r>
            <w:r>
              <w:rPr>
                <w:rFonts w:hint="default" w:ascii="宋体" w:hAnsi="Times New Roman" w:eastAsia="宋体" w:cs="宋体"/>
                <w:color w:val="auto"/>
                <w:sz w:val="20"/>
                <w:szCs w:val="20"/>
                <w:lang w:val="en-US" w:eastAsia="zh-CN"/>
              </w:rPr>
              <w:t>充分认识到穿戴防护服和</w:t>
            </w:r>
            <w:bookmarkStart w:id="18" w:name="_GoBack"/>
            <w:bookmarkEnd w:id="18"/>
            <w:r>
              <w:rPr>
                <w:rFonts w:hint="default" w:ascii="宋体" w:hAnsi="Times New Roman" w:eastAsia="宋体" w:cs="宋体"/>
                <w:color w:val="auto"/>
                <w:sz w:val="20"/>
                <w:szCs w:val="20"/>
                <w:lang w:val="en-US" w:eastAsia="zh-CN"/>
              </w:rPr>
              <w:t>使用专用工具的重要性。</w:t>
            </w:r>
          </w:p>
        </w:tc>
        <w:tc>
          <w:tcPr>
            <w:tcW w:w="2005" w:type="dxa"/>
            <w:tcBorders>
              <w:tl2br w:val="nil"/>
              <w:tr2bl w:val="nil"/>
            </w:tcBorders>
            <w:vAlign w:val="center"/>
          </w:tcPr>
          <w:p>
            <w:pPr>
              <w:pStyle w:val="14"/>
              <w:keepNext w:val="0"/>
              <w:keepLines w:val="0"/>
              <w:pageBreakBefore w:val="0"/>
              <w:widowControl w:val="0"/>
              <w:kinsoku/>
              <w:wordWrap/>
              <w:overflowPunct/>
              <w:topLinePunct w:val="0"/>
              <w:autoSpaceDE w:val="0"/>
              <w:autoSpaceDN w:val="0"/>
              <w:bidi w:val="0"/>
              <w:adjustRightInd w:val="0"/>
              <w:snapToGrid/>
              <w:spacing w:line="240" w:lineRule="atLeast"/>
              <w:jc w:val="center"/>
              <w:textAlignment w:val="auto"/>
              <w:rPr>
                <w:rFonts w:hint="eastAsia" w:ascii="宋体" w:hAnsi="Times New Roman" w:eastAsia="宋体" w:cs="宋体"/>
                <w:color w:val="auto"/>
                <w:sz w:val="20"/>
                <w:szCs w:val="20"/>
                <w:lang w:val="en-US" w:eastAsia="zh-CN"/>
              </w:rPr>
            </w:pPr>
            <w:r>
              <w:rPr>
                <w:rFonts w:hint="eastAsia" w:ascii="宋体" w:hAnsi="Times New Roman" w:eastAsia="宋体" w:cs="宋体"/>
                <w:color w:val="auto"/>
                <w:sz w:val="20"/>
                <w:szCs w:val="20"/>
                <w:lang w:val="en-US" w:eastAsia="zh-CN"/>
              </w:rPr>
              <w:t>3个月</w:t>
            </w:r>
          </w:p>
        </w:tc>
      </w:tr>
    </w:tbl>
    <w:p>
      <w:pPr>
        <w:autoSpaceDE w:val="0"/>
        <w:autoSpaceDN w:val="0"/>
        <w:adjustRightInd w:val="0"/>
        <w:snapToGrid w:val="0"/>
        <w:spacing w:line="360" w:lineRule="auto"/>
        <w:ind w:firstLine="480" w:firstLineChars="200"/>
        <w:jc w:val="left"/>
        <w:rPr>
          <w:kern w:val="0"/>
          <w:sz w:val="24"/>
        </w:rPr>
      </w:pPr>
      <w:r>
        <w:rPr>
          <w:kern w:val="0"/>
          <w:sz w:val="24"/>
        </w:rPr>
        <w:t>针对以上暴露出的问题，</w:t>
      </w:r>
      <w:r>
        <w:rPr>
          <w:rFonts w:hint="eastAsia"/>
          <w:kern w:val="0"/>
          <w:sz w:val="24"/>
        </w:rPr>
        <w:t>公司</w:t>
      </w:r>
      <w:r>
        <w:rPr>
          <w:kern w:val="0"/>
          <w:sz w:val="24"/>
        </w:rPr>
        <w:t>认真总结，重新梳理各责任人，明确处理流程及上报程序，加强现场处置方案训练，并在后期演练过程中对其进行重点关注。</w:t>
      </w:r>
    </w:p>
    <w:p>
      <w:pPr>
        <w:widowControl/>
        <w:ind w:firstLine="0" w:firstLineChars="0"/>
        <w:jc w:val="left"/>
        <w:rPr>
          <w:b/>
          <w:bCs/>
          <w:color w:val="000000" w:themeColor="text1"/>
          <w:sz w:val="30"/>
          <w:szCs w:val="30"/>
          <w14:textFill>
            <w14:solidFill>
              <w14:schemeClr w14:val="tx1"/>
            </w14:solidFill>
          </w14:textFill>
        </w:rPr>
      </w:pPr>
      <w:bookmarkStart w:id="16" w:name="_Toc29375"/>
      <w:r>
        <w:rPr>
          <w:rFonts w:hint="eastAsia"/>
          <w:b/>
          <w:bCs/>
          <w:color w:val="000000" w:themeColor="text1"/>
          <w:sz w:val="30"/>
          <w:szCs w:val="30"/>
          <w:lang w:val="en-US" w:eastAsia="zh-CN"/>
          <w14:textFill>
            <w14:solidFill>
              <w14:schemeClr w14:val="tx1"/>
            </w14:solidFill>
          </w14:textFill>
        </w:rPr>
        <w:t>六、本次</w:t>
      </w:r>
      <w:r>
        <w:rPr>
          <w:rFonts w:hint="eastAsia"/>
          <w:b/>
          <w:bCs/>
          <w:color w:val="000000" w:themeColor="text1"/>
          <w:sz w:val="30"/>
          <w:szCs w:val="30"/>
          <w14:textFill>
            <w14:solidFill>
              <w14:schemeClr w14:val="tx1"/>
            </w14:solidFill>
          </w14:textFill>
        </w:rPr>
        <w:t>修订内容说明</w:t>
      </w:r>
    </w:p>
    <w:p>
      <w:pPr>
        <w:ind w:firstLine="480"/>
        <w:jc w:val="left"/>
        <w:rPr>
          <w:rFonts w:hint="eastAsia"/>
          <w:color w:val="auto"/>
          <w:lang w:val="en-US" w:eastAsia="zh-CN"/>
        </w:rPr>
      </w:pPr>
      <w:r>
        <w:rPr>
          <w:rFonts w:hint="eastAsia"/>
          <w:color w:val="auto"/>
          <w:highlight w:val="none"/>
        </w:rPr>
        <w:t>本公司于</w:t>
      </w:r>
      <w:r>
        <w:rPr>
          <w:rFonts w:hint="eastAsia"/>
          <w:color w:val="auto"/>
        </w:rPr>
        <w:t>2</w:t>
      </w:r>
      <w:r>
        <w:rPr>
          <w:color w:val="auto"/>
        </w:rPr>
        <w:t>0</w:t>
      </w:r>
      <w:r>
        <w:rPr>
          <w:rFonts w:hint="eastAsia"/>
          <w:color w:val="auto"/>
          <w:lang w:val="en-US" w:eastAsia="zh-CN"/>
        </w:rPr>
        <w:t>21</w:t>
      </w:r>
      <w:r>
        <w:rPr>
          <w:rFonts w:hint="eastAsia"/>
          <w:color w:val="auto"/>
        </w:rPr>
        <w:t>年</w:t>
      </w:r>
      <w:r>
        <w:rPr>
          <w:rFonts w:hint="eastAsia"/>
          <w:color w:val="auto"/>
          <w:lang w:val="en-US" w:eastAsia="zh-CN"/>
        </w:rPr>
        <w:t>12</w:t>
      </w:r>
      <w:r>
        <w:rPr>
          <w:rFonts w:hint="eastAsia"/>
          <w:color w:val="auto"/>
        </w:rPr>
        <w:t>月</w:t>
      </w:r>
      <w:r>
        <w:rPr>
          <w:rFonts w:hint="eastAsia"/>
          <w:color w:val="auto"/>
          <w:highlight w:val="none"/>
        </w:rPr>
        <w:t>编写了第</w:t>
      </w:r>
      <w:r>
        <w:rPr>
          <w:rFonts w:hint="eastAsia"/>
          <w:color w:val="auto"/>
          <w:highlight w:val="none"/>
          <w:lang w:val="en-US" w:eastAsia="zh-CN"/>
        </w:rPr>
        <w:t>二</w:t>
      </w:r>
      <w:r>
        <w:rPr>
          <w:rFonts w:hint="eastAsia"/>
          <w:color w:val="auto"/>
          <w:highlight w:val="none"/>
        </w:rPr>
        <w:t>版突发环境事件应急预案，</w:t>
      </w:r>
      <w:r>
        <w:rPr>
          <w:rFonts w:hint="eastAsia"/>
          <w:color w:val="auto"/>
        </w:rPr>
        <w:t>并于2</w:t>
      </w:r>
      <w:r>
        <w:rPr>
          <w:color w:val="auto"/>
        </w:rPr>
        <w:t>0</w:t>
      </w:r>
      <w:r>
        <w:rPr>
          <w:rFonts w:hint="eastAsia"/>
          <w:color w:val="auto"/>
          <w:lang w:val="en-US" w:eastAsia="zh-CN"/>
        </w:rPr>
        <w:t>22</w:t>
      </w:r>
      <w:r>
        <w:rPr>
          <w:rFonts w:hint="eastAsia"/>
          <w:color w:val="auto"/>
        </w:rPr>
        <w:t>年</w:t>
      </w:r>
      <w:r>
        <w:rPr>
          <w:rFonts w:hint="eastAsia" w:ascii="Times New Roman" w:hAnsi="Times New Roman" w:eastAsia="宋体" w:cs="宋体"/>
          <w:color w:val="auto"/>
          <w:lang w:val="en-US" w:eastAsia="zh-CN"/>
        </w:rPr>
        <w:t>1月在九江市湖口生态环境局进行了备案</w:t>
      </w:r>
      <w:r>
        <w:rPr>
          <w:rFonts w:hint="eastAsia"/>
          <w:color w:val="auto"/>
        </w:rPr>
        <w:t>。</w:t>
      </w:r>
      <w:r>
        <w:rPr>
          <w:rFonts w:hint="eastAsia"/>
          <w:color w:val="auto"/>
          <w:highlight w:val="none"/>
          <w:lang w:val="en-US" w:eastAsia="zh-CN"/>
        </w:rPr>
        <w:t>本</w:t>
      </w:r>
      <w:r>
        <w:rPr>
          <w:rFonts w:hint="eastAsia"/>
          <w:color w:val="auto"/>
          <w:lang w:val="en-US" w:eastAsia="zh-CN"/>
        </w:rPr>
        <w:t>次应急预案在第二版应急预案的基础上进行修订，修订内容汇总详见表2.7-1。</w:t>
      </w:r>
    </w:p>
    <w:p>
      <w:pPr>
        <w:pStyle w:val="14"/>
        <w:jc w:val="center"/>
        <w:rPr>
          <w:rFonts w:hint="eastAsia"/>
          <w:b/>
          <w:bCs/>
          <w:color w:val="auto"/>
          <w:sz w:val="22"/>
          <w:szCs w:val="22"/>
          <w:highlight w:val="none"/>
          <w:lang w:val="en-US" w:eastAsia="zh-CN"/>
        </w:rPr>
      </w:pPr>
      <w:r>
        <w:rPr>
          <w:rFonts w:hint="eastAsia"/>
          <w:b/>
          <w:bCs/>
          <w:color w:val="auto"/>
          <w:sz w:val="22"/>
          <w:szCs w:val="22"/>
          <w:highlight w:val="none"/>
          <w:lang w:val="en-US" w:eastAsia="zh-CN"/>
        </w:rPr>
        <w:t>表2.7-1 修订内容汇总</w:t>
      </w:r>
    </w:p>
    <w:tbl>
      <w:tblPr>
        <w:tblStyle w:val="9"/>
        <w:tblW w:w="0" w:type="auto"/>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78"/>
        <w:gridCol w:w="2328"/>
        <w:gridCol w:w="2599"/>
        <w:gridCol w:w="2117"/>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478" w:type="dxa"/>
            <w:vAlign w:val="center"/>
          </w:tcPr>
          <w:p>
            <w:pPr>
              <w:pStyle w:val="14"/>
              <w:keepNext w:val="0"/>
              <w:keepLines w:val="0"/>
              <w:pageBreakBefore w:val="0"/>
              <w:widowControl w:val="0"/>
              <w:kinsoku/>
              <w:wordWrap/>
              <w:overflowPunct/>
              <w:topLinePunct w:val="0"/>
              <w:autoSpaceDE w:val="0"/>
              <w:autoSpaceDN w:val="0"/>
              <w:bidi w:val="0"/>
              <w:adjustRightInd w:val="0"/>
              <w:snapToGrid/>
              <w:spacing w:line="240" w:lineRule="atLeast"/>
              <w:jc w:val="center"/>
              <w:textAlignment w:val="auto"/>
              <w:rPr>
                <w:rFonts w:hint="default"/>
                <w:b/>
                <w:bCs/>
                <w:color w:val="auto"/>
                <w:sz w:val="22"/>
                <w:szCs w:val="22"/>
                <w:vertAlign w:val="baseline"/>
                <w:lang w:val="en-US" w:eastAsia="zh-CN"/>
              </w:rPr>
            </w:pPr>
            <w:r>
              <w:rPr>
                <w:rFonts w:hint="eastAsia"/>
                <w:b/>
                <w:bCs/>
                <w:color w:val="auto"/>
                <w:sz w:val="22"/>
                <w:szCs w:val="22"/>
                <w:vertAlign w:val="baseline"/>
                <w:lang w:val="en-US" w:eastAsia="zh-CN"/>
              </w:rPr>
              <w:t>内容</w:t>
            </w:r>
          </w:p>
        </w:tc>
        <w:tc>
          <w:tcPr>
            <w:tcW w:w="2328" w:type="dxa"/>
            <w:vAlign w:val="center"/>
          </w:tcPr>
          <w:p>
            <w:pPr>
              <w:pStyle w:val="14"/>
              <w:keepNext w:val="0"/>
              <w:keepLines w:val="0"/>
              <w:pageBreakBefore w:val="0"/>
              <w:widowControl w:val="0"/>
              <w:kinsoku/>
              <w:wordWrap/>
              <w:overflowPunct/>
              <w:topLinePunct w:val="0"/>
              <w:autoSpaceDE w:val="0"/>
              <w:autoSpaceDN w:val="0"/>
              <w:bidi w:val="0"/>
              <w:adjustRightInd w:val="0"/>
              <w:snapToGrid/>
              <w:spacing w:line="240" w:lineRule="atLeast"/>
              <w:jc w:val="center"/>
              <w:textAlignment w:val="auto"/>
              <w:rPr>
                <w:rFonts w:hint="default"/>
                <w:b/>
                <w:bCs/>
                <w:color w:val="auto"/>
                <w:sz w:val="22"/>
                <w:szCs w:val="22"/>
                <w:vertAlign w:val="baseline"/>
                <w:lang w:val="en-US" w:eastAsia="zh-CN"/>
              </w:rPr>
            </w:pPr>
            <w:r>
              <w:rPr>
                <w:rFonts w:hint="eastAsia"/>
                <w:b/>
                <w:bCs/>
                <w:color w:val="auto"/>
                <w:sz w:val="22"/>
                <w:szCs w:val="22"/>
                <w:vertAlign w:val="baseline"/>
                <w:lang w:val="en-US" w:eastAsia="zh-CN"/>
              </w:rPr>
              <w:t>第二版</w:t>
            </w:r>
          </w:p>
        </w:tc>
        <w:tc>
          <w:tcPr>
            <w:tcW w:w="2599" w:type="dxa"/>
            <w:vAlign w:val="center"/>
          </w:tcPr>
          <w:p>
            <w:pPr>
              <w:pStyle w:val="14"/>
              <w:keepNext w:val="0"/>
              <w:keepLines w:val="0"/>
              <w:pageBreakBefore w:val="0"/>
              <w:widowControl w:val="0"/>
              <w:kinsoku/>
              <w:wordWrap/>
              <w:overflowPunct/>
              <w:topLinePunct w:val="0"/>
              <w:autoSpaceDE w:val="0"/>
              <w:autoSpaceDN w:val="0"/>
              <w:bidi w:val="0"/>
              <w:adjustRightInd w:val="0"/>
              <w:snapToGrid/>
              <w:spacing w:line="240" w:lineRule="atLeast"/>
              <w:jc w:val="center"/>
              <w:textAlignment w:val="auto"/>
              <w:rPr>
                <w:rFonts w:hint="default"/>
                <w:b/>
                <w:bCs/>
                <w:color w:val="auto"/>
                <w:sz w:val="22"/>
                <w:szCs w:val="22"/>
                <w:vertAlign w:val="baseline"/>
                <w:lang w:val="en-US" w:eastAsia="zh-CN"/>
              </w:rPr>
            </w:pPr>
            <w:r>
              <w:rPr>
                <w:rFonts w:hint="eastAsia"/>
                <w:b/>
                <w:bCs/>
                <w:color w:val="auto"/>
                <w:sz w:val="22"/>
                <w:szCs w:val="22"/>
                <w:vertAlign w:val="baseline"/>
                <w:lang w:val="en-US" w:eastAsia="zh-CN"/>
              </w:rPr>
              <w:t>第三版</w:t>
            </w:r>
          </w:p>
        </w:tc>
        <w:tc>
          <w:tcPr>
            <w:tcW w:w="2117" w:type="dxa"/>
            <w:vAlign w:val="center"/>
          </w:tcPr>
          <w:p>
            <w:pPr>
              <w:pStyle w:val="14"/>
              <w:keepNext w:val="0"/>
              <w:keepLines w:val="0"/>
              <w:pageBreakBefore w:val="0"/>
              <w:widowControl w:val="0"/>
              <w:kinsoku/>
              <w:wordWrap/>
              <w:overflowPunct/>
              <w:topLinePunct w:val="0"/>
              <w:autoSpaceDE w:val="0"/>
              <w:autoSpaceDN w:val="0"/>
              <w:bidi w:val="0"/>
              <w:adjustRightInd w:val="0"/>
              <w:snapToGrid/>
              <w:spacing w:line="240" w:lineRule="atLeast"/>
              <w:jc w:val="center"/>
              <w:textAlignment w:val="auto"/>
              <w:rPr>
                <w:rFonts w:hint="default"/>
                <w:b/>
                <w:bCs/>
                <w:color w:val="auto"/>
                <w:sz w:val="22"/>
                <w:szCs w:val="22"/>
                <w:vertAlign w:val="baseline"/>
                <w:lang w:val="en-US" w:eastAsia="zh-CN"/>
              </w:rPr>
            </w:pPr>
            <w:r>
              <w:rPr>
                <w:rFonts w:hint="eastAsia"/>
                <w:b/>
                <w:bCs/>
                <w:color w:val="auto"/>
                <w:sz w:val="22"/>
                <w:szCs w:val="22"/>
                <w:vertAlign w:val="baseline"/>
                <w:lang w:val="en-US" w:eastAsia="zh-CN"/>
              </w:rPr>
              <w:t>变动情况</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478" w:type="dxa"/>
            <w:vAlign w:val="center"/>
          </w:tcPr>
          <w:p>
            <w:pPr>
              <w:pStyle w:val="14"/>
              <w:keepNext w:val="0"/>
              <w:keepLines w:val="0"/>
              <w:pageBreakBefore w:val="0"/>
              <w:widowControl w:val="0"/>
              <w:kinsoku/>
              <w:wordWrap/>
              <w:overflowPunct/>
              <w:topLinePunct w:val="0"/>
              <w:autoSpaceDE w:val="0"/>
              <w:autoSpaceDN w:val="0"/>
              <w:bidi w:val="0"/>
              <w:adjustRightInd w:val="0"/>
              <w:snapToGrid/>
              <w:spacing w:line="240" w:lineRule="atLeast"/>
              <w:jc w:val="center"/>
              <w:textAlignment w:val="auto"/>
              <w:rPr>
                <w:rFonts w:hint="default" w:hAnsi="Times New Roman"/>
                <w:color w:val="auto"/>
                <w:sz w:val="20"/>
                <w:szCs w:val="20"/>
                <w:lang w:val="en-US" w:eastAsia="zh-CN"/>
              </w:rPr>
            </w:pPr>
            <w:r>
              <w:rPr>
                <w:rFonts w:hint="eastAsia"/>
                <w:color w:val="auto"/>
                <w:sz w:val="20"/>
                <w:szCs w:val="20"/>
                <w:lang w:val="en-US" w:eastAsia="zh-CN"/>
              </w:rPr>
              <w:t>基本信息</w:t>
            </w:r>
          </w:p>
        </w:tc>
        <w:tc>
          <w:tcPr>
            <w:tcW w:w="2328" w:type="dxa"/>
            <w:vAlign w:val="center"/>
          </w:tcPr>
          <w:p>
            <w:pPr>
              <w:pStyle w:val="14"/>
              <w:keepNext w:val="0"/>
              <w:keepLines w:val="0"/>
              <w:pageBreakBefore w:val="0"/>
              <w:widowControl w:val="0"/>
              <w:kinsoku/>
              <w:wordWrap/>
              <w:overflowPunct/>
              <w:topLinePunct w:val="0"/>
              <w:autoSpaceDE w:val="0"/>
              <w:autoSpaceDN w:val="0"/>
              <w:bidi w:val="0"/>
              <w:adjustRightInd w:val="0"/>
              <w:snapToGrid/>
              <w:spacing w:line="240" w:lineRule="atLeast"/>
              <w:jc w:val="center"/>
              <w:textAlignment w:val="auto"/>
              <w:rPr>
                <w:rFonts w:hint="default" w:hAnsi="Times New Roman"/>
                <w:color w:val="auto"/>
                <w:sz w:val="20"/>
                <w:szCs w:val="20"/>
                <w:lang w:val="en-US" w:eastAsia="zh-CN"/>
              </w:rPr>
            </w:pPr>
            <w:r>
              <w:rPr>
                <w:rFonts w:hint="eastAsia"/>
                <w:color w:val="auto"/>
                <w:sz w:val="20"/>
                <w:szCs w:val="20"/>
                <w:lang w:val="en-US" w:eastAsia="zh-CN"/>
              </w:rPr>
              <w:t>江西辙炜新材料科技有限公司</w:t>
            </w:r>
          </w:p>
        </w:tc>
        <w:tc>
          <w:tcPr>
            <w:tcW w:w="2599" w:type="dxa"/>
            <w:vAlign w:val="center"/>
          </w:tcPr>
          <w:p>
            <w:pPr>
              <w:pStyle w:val="14"/>
              <w:keepNext w:val="0"/>
              <w:keepLines w:val="0"/>
              <w:pageBreakBefore w:val="0"/>
              <w:widowControl w:val="0"/>
              <w:kinsoku/>
              <w:wordWrap/>
              <w:overflowPunct/>
              <w:topLinePunct w:val="0"/>
              <w:autoSpaceDE w:val="0"/>
              <w:autoSpaceDN w:val="0"/>
              <w:bidi w:val="0"/>
              <w:adjustRightInd w:val="0"/>
              <w:snapToGrid/>
              <w:spacing w:line="240" w:lineRule="atLeast"/>
              <w:jc w:val="center"/>
              <w:textAlignment w:val="auto"/>
              <w:rPr>
                <w:rFonts w:hint="eastAsia" w:ascii="宋体" w:hAnsi="Times New Roman" w:eastAsia="宋体" w:cs="宋体"/>
                <w:color w:val="auto"/>
                <w:sz w:val="20"/>
                <w:szCs w:val="20"/>
                <w:lang w:val="en-US" w:eastAsia="zh-CN"/>
              </w:rPr>
            </w:pPr>
            <w:r>
              <w:rPr>
                <w:rFonts w:hint="eastAsia"/>
                <w:color w:val="auto"/>
                <w:sz w:val="20"/>
                <w:szCs w:val="20"/>
                <w:lang w:val="en-US" w:eastAsia="zh-CN"/>
              </w:rPr>
              <w:t>江西辙炜新材料科技股份有限公司</w:t>
            </w:r>
          </w:p>
        </w:tc>
        <w:tc>
          <w:tcPr>
            <w:tcW w:w="2117" w:type="dxa"/>
            <w:vAlign w:val="center"/>
          </w:tcPr>
          <w:p>
            <w:pPr>
              <w:pStyle w:val="14"/>
              <w:keepNext w:val="0"/>
              <w:keepLines w:val="0"/>
              <w:pageBreakBefore w:val="0"/>
              <w:widowControl w:val="0"/>
              <w:kinsoku/>
              <w:wordWrap/>
              <w:overflowPunct/>
              <w:topLinePunct w:val="0"/>
              <w:autoSpaceDE w:val="0"/>
              <w:autoSpaceDN w:val="0"/>
              <w:bidi w:val="0"/>
              <w:adjustRightInd w:val="0"/>
              <w:snapToGrid/>
              <w:spacing w:line="240" w:lineRule="atLeast"/>
              <w:jc w:val="center"/>
              <w:textAlignment w:val="auto"/>
              <w:rPr>
                <w:rFonts w:hint="default"/>
                <w:color w:val="auto"/>
                <w:sz w:val="20"/>
                <w:szCs w:val="20"/>
                <w:lang w:val="en-US" w:eastAsia="zh-CN"/>
              </w:rPr>
            </w:pPr>
            <w:r>
              <w:rPr>
                <w:rFonts w:hint="eastAsia"/>
                <w:color w:val="auto"/>
                <w:sz w:val="20"/>
                <w:szCs w:val="20"/>
                <w:lang w:val="en-US" w:eastAsia="zh-CN"/>
              </w:rPr>
              <w:t>公司名称变更</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478" w:type="dxa"/>
            <w:vAlign w:val="center"/>
          </w:tcPr>
          <w:p>
            <w:pPr>
              <w:pStyle w:val="14"/>
              <w:keepNext w:val="0"/>
              <w:keepLines w:val="0"/>
              <w:pageBreakBefore w:val="0"/>
              <w:widowControl w:val="0"/>
              <w:kinsoku/>
              <w:wordWrap/>
              <w:overflowPunct/>
              <w:topLinePunct w:val="0"/>
              <w:autoSpaceDE w:val="0"/>
              <w:autoSpaceDN w:val="0"/>
              <w:bidi w:val="0"/>
              <w:adjustRightInd w:val="0"/>
              <w:snapToGrid/>
              <w:spacing w:line="240" w:lineRule="atLeast"/>
              <w:jc w:val="center"/>
              <w:textAlignment w:val="auto"/>
              <w:rPr>
                <w:rFonts w:hint="default" w:hAnsi="Times New Roman"/>
                <w:color w:val="auto"/>
                <w:sz w:val="20"/>
                <w:szCs w:val="20"/>
                <w:lang w:val="en-US" w:eastAsia="zh-CN"/>
              </w:rPr>
            </w:pPr>
            <w:r>
              <w:rPr>
                <w:rFonts w:hint="eastAsia" w:hAnsi="Times New Roman"/>
                <w:color w:val="auto"/>
                <w:sz w:val="20"/>
                <w:szCs w:val="20"/>
                <w:lang w:val="en-US" w:eastAsia="zh-CN"/>
              </w:rPr>
              <w:t>预案范围</w:t>
            </w:r>
          </w:p>
        </w:tc>
        <w:tc>
          <w:tcPr>
            <w:tcW w:w="2328" w:type="dxa"/>
            <w:vAlign w:val="center"/>
          </w:tcPr>
          <w:p>
            <w:pPr>
              <w:pStyle w:val="14"/>
              <w:keepNext w:val="0"/>
              <w:keepLines w:val="0"/>
              <w:pageBreakBefore w:val="0"/>
              <w:widowControl w:val="0"/>
              <w:kinsoku/>
              <w:wordWrap/>
              <w:overflowPunct/>
              <w:topLinePunct w:val="0"/>
              <w:autoSpaceDE w:val="0"/>
              <w:autoSpaceDN w:val="0"/>
              <w:bidi w:val="0"/>
              <w:adjustRightInd w:val="0"/>
              <w:snapToGrid/>
              <w:spacing w:line="240" w:lineRule="atLeast"/>
              <w:jc w:val="center"/>
              <w:textAlignment w:val="auto"/>
              <w:rPr>
                <w:rFonts w:hint="default" w:hAnsi="Times New Roman"/>
                <w:color w:val="auto"/>
                <w:sz w:val="20"/>
                <w:szCs w:val="20"/>
                <w:lang w:val="en-US" w:eastAsia="zh-CN"/>
              </w:rPr>
            </w:pPr>
            <w:r>
              <w:rPr>
                <w:rFonts w:hint="eastAsia" w:hAnsi="Times New Roman"/>
                <w:color w:val="auto"/>
                <w:sz w:val="20"/>
                <w:szCs w:val="20"/>
                <w:lang w:val="en-US" w:eastAsia="zh-CN"/>
              </w:rPr>
              <w:t>江西辙炜新材料科技有限公司建年产8000吨水性及2000吨溶剂型烟草包装用功能性乳液项目及其配套设施</w:t>
            </w:r>
          </w:p>
        </w:tc>
        <w:tc>
          <w:tcPr>
            <w:tcW w:w="2599" w:type="dxa"/>
            <w:vAlign w:val="center"/>
          </w:tcPr>
          <w:p>
            <w:pPr>
              <w:pStyle w:val="14"/>
              <w:keepNext w:val="0"/>
              <w:keepLines w:val="0"/>
              <w:pageBreakBefore w:val="0"/>
              <w:widowControl w:val="0"/>
              <w:kinsoku/>
              <w:wordWrap/>
              <w:overflowPunct/>
              <w:topLinePunct w:val="0"/>
              <w:autoSpaceDE w:val="0"/>
              <w:autoSpaceDN w:val="0"/>
              <w:bidi w:val="0"/>
              <w:adjustRightInd w:val="0"/>
              <w:snapToGrid/>
              <w:spacing w:line="240" w:lineRule="atLeast"/>
              <w:jc w:val="center"/>
              <w:textAlignment w:val="auto"/>
              <w:rPr>
                <w:rFonts w:hint="default" w:ascii="宋体" w:hAnsi="Times New Roman" w:eastAsia="宋体" w:cs="宋体"/>
                <w:color w:val="auto"/>
                <w:sz w:val="20"/>
                <w:szCs w:val="20"/>
                <w:lang w:val="en-US" w:eastAsia="zh-CN"/>
              </w:rPr>
            </w:pPr>
            <w:r>
              <w:rPr>
                <w:rFonts w:hint="eastAsia" w:ascii="宋体" w:hAnsi="Times New Roman" w:eastAsia="宋体" w:cs="宋体"/>
                <w:color w:val="auto"/>
                <w:sz w:val="20"/>
                <w:szCs w:val="20"/>
                <w:lang w:val="en-US" w:eastAsia="zh-CN"/>
              </w:rPr>
              <w:t>江西辙炜新材料科技有限公司建年产8000吨水性及2000吨溶剂型烟草包装用功能性乳液项目及其配套设施、年产5000吨锂电池涂碳浆料改建项目及其配套设施</w:t>
            </w:r>
          </w:p>
        </w:tc>
        <w:tc>
          <w:tcPr>
            <w:tcW w:w="2117" w:type="dxa"/>
            <w:vAlign w:val="center"/>
          </w:tcPr>
          <w:p>
            <w:pPr>
              <w:pStyle w:val="14"/>
              <w:keepNext w:val="0"/>
              <w:keepLines w:val="0"/>
              <w:pageBreakBefore w:val="0"/>
              <w:widowControl w:val="0"/>
              <w:kinsoku/>
              <w:wordWrap/>
              <w:overflowPunct/>
              <w:topLinePunct w:val="0"/>
              <w:autoSpaceDE w:val="0"/>
              <w:autoSpaceDN w:val="0"/>
              <w:bidi w:val="0"/>
              <w:adjustRightInd w:val="0"/>
              <w:snapToGrid/>
              <w:spacing w:line="240" w:lineRule="atLeast"/>
              <w:jc w:val="center"/>
              <w:textAlignment w:val="auto"/>
              <w:rPr>
                <w:rFonts w:hint="default" w:hAnsi="Times New Roman"/>
                <w:color w:val="auto"/>
                <w:sz w:val="20"/>
                <w:szCs w:val="20"/>
                <w:lang w:val="en-US" w:eastAsia="zh-CN"/>
              </w:rPr>
            </w:pPr>
            <w:r>
              <w:rPr>
                <w:rFonts w:hint="eastAsia"/>
                <w:color w:val="auto"/>
                <w:sz w:val="20"/>
                <w:szCs w:val="20"/>
                <w:lang w:val="en-US" w:eastAsia="zh-CN"/>
              </w:rPr>
              <w:t>增加锂电池涂碳浆料生产项目及配套设施</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478" w:type="dxa"/>
            <w:vAlign w:val="center"/>
          </w:tcPr>
          <w:p>
            <w:pPr>
              <w:pStyle w:val="14"/>
              <w:keepNext w:val="0"/>
              <w:keepLines w:val="0"/>
              <w:pageBreakBefore w:val="0"/>
              <w:widowControl w:val="0"/>
              <w:kinsoku/>
              <w:wordWrap/>
              <w:overflowPunct/>
              <w:topLinePunct w:val="0"/>
              <w:autoSpaceDE w:val="0"/>
              <w:autoSpaceDN w:val="0"/>
              <w:bidi w:val="0"/>
              <w:adjustRightInd w:val="0"/>
              <w:snapToGrid/>
              <w:spacing w:line="240" w:lineRule="atLeast"/>
              <w:jc w:val="center"/>
              <w:textAlignment w:val="auto"/>
              <w:rPr>
                <w:rFonts w:hint="default"/>
                <w:color w:val="auto"/>
                <w:sz w:val="20"/>
                <w:szCs w:val="20"/>
                <w:lang w:val="en-US" w:eastAsia="zh-CN"/>
              </w:rPr>
            </w:pPr>
            <w:r>
              <w:rPr>
                <w:rFonts w:hint="eastAsia"/>
                <w:color w:val="auto"/>
                <w:sz w:val="20"/>
                <w:szCs w:val="20"/>
                <w:lang w:val="en-US" w:eastAsia="zh-CN"/>
              </w:rPr>
              <w:t>风险物质</w:t>
            </w:r>
          </w:p>
        </w:tc>
        <w:tc>
          <w:tcPr>
            <w:tcW w:w="2328" w:type="dxa"/>
            <w:vAlign w:val="center"/>
          </w:tcPr>
          <w:p>
            <w:pPr>
              <w:pStyle w:val="14"/>
              <w:keepNext w:val="0"/>
              <w:keepLines w:val="0"/>
              <w:pageBreakBefore w:val="0"/>
              <w:widowControl w:val="0"/>
              <w:kinsoku/>
              <w:wordWrap/>
              <w:overflowPunct/>
              <w:topLinePunct w:val="0"/>
              <w:autoSpaceDE w:val="0"/>
              <w:autoSpaceDN w:val="0"/>
              <w:bidi w:val="0"/>
              <w:adjustRightInd w:val="0"/>
              <w:snapToGrid/>
              <w:spacing w:line="240" w:lineRule="atLeast"/>
              <w:jc w:val="center"/>
              <w:textAlignment w:val="auto"/>
              <w:rPr>
                <w:rFonts w:hint="default" w:hAnsi="Times New Roman"/>
                <w:color w:val="auto"/>
                <w:sz w:val="20"/>
                <w:szCs w:val="20"/>
                <w:lang w:val="en-US" w:eastAsia="zh-CN"/>
              </w:rPr>
            </w:pPr>
            <w:r>
              <w:rPr>
                <w:rFonts w:hint="eastAsia" w:hAnsi="Times New Roman"/>
                <w:color w:val="auto"/>
                <w:sz w:val="20"/>
                <w:szCs w:val="20"/>
                <w:lang w:val="en-US" w:eastAsia="zh-CN"/>
              </w:rPr>
              <w:t>甲基丙烯酸甲酯、丙烯酸丁酯、丁酮、乙酸乙酯、氨水</w:t>
            </w:r>
          </w:p>
        </w:tc>
        <w:tc>
          <w:tcPr>
            <w:tcW w:w="2599" w:type="dxa"/>
            <w:vAlign w:val="center"/>
          </w:tcPr>
          <w:p>
            <w:pPr>
              <w:pStyle w:val="14"/>
              <w:keepNext w:val="0"/>
              <w:keepLines w:val="0"/>
              <w:pageBreakBefore w:val="0"/>
              <w:widowControl w:val="0"/>
              <w:kinsoku/>
              <w:wordWrap/>
              <w:overflowPunct/>
              <w:topLinePunct w:val="0"/>
              <w:autoSpaceDE w:val="0"/>
              <w:autoSpaceDN w:val="0"/>
              <w:bidi w:val="0"/>
              <w:adjustRightInd w:val="0"/>
              <w:snapToGrid/>
              <w:spacing w:line="240" w:lineRule="atLeast"/>
              <w:jc w:val="center"/>
              <w:textAlignment w:val="auto"/>
              <w:rPr>
                <w:rFonts w:hint="default" w:hAnsi="Times New Roman"/>
                <w:color w:val="auto"/>
                <w:sz w:val="20"/>
                <w:szCs w:val="20"/>
                <w:lang w:val="en-US" w:eastAsia="zh-CN"/>
              </w:rPr>
            </w:pPr>
            <w:r>
              <w:rPr>
                <w:rFonts w:hint="eastAsia" w:hAnsi="Times New Roman"/>
                <w:color w:val="auto"/>
                <w:sz w:val="20"/>
                <w:szCs w:val="20"/>
                <w:lang w:val="en-US" w:eastAsia="zh-CN"/>
              </w:rPr>
              <w:t>甲基丙烯酸甲酯、丙烯酸丁酯、丁酮、乙酸乙酯、氨水</w:t>
            </w:r>
            <w:r>
              <w:rPr>
                <w:rFonts w:hint="eastAsia"/>
                <w:color w:val="auto"/>
                <w:sz w:val="20"/>
                <w:szCs w:val="20"/>
                <w:lang w:val="en-US" w:eastAsia="zh-CN"/>
              </w:rPr>
              <w:t>、异丙醇</w:t>
            </w:r>
          </w:p>
        </w:tc>
        <w:tc>
          <w:tcPr>
            <w:tcW w:w="2117" w:type="dxa"/>
            <w:vAlign w:val="center"/>
          </w:tcPr>
          <w:p>
            <w:pPr>
              <w:pStyle w:val="14"/>
              <w:keepNext w:val="0"/>
              <w:keepLines w:val="0"/>
              <w:pageBreakBefore w:val="0"/>
              <w:widowControl w:val="0"/>
              <w:kinsoku/>
              <w:wordWrap/>
              <w:overflowPunct/>
              <w:topLinePunct w:val="0"/>
              <w:autoSpaceDE w:val="0"/>
              <w:autoSpaceDN w:val="0"/>
              <w:bidi w:val="0"/>
              <w:adjustRightInd w:val="0"/>
              <w:snapToGrid/>
              <w:spacing w:line="240" w:lineRule="atLeast"/>
              <w:jc w:val="center"/>
              <w:textAlignment w:val="auto"/>
              <w:rPr>
                <w:rFonts w:hint="default" w:hAnsi="Times New Roman"/>
                <w:color w:val="auto"/>
                <w:sz w:val="20"/>
                <w:szCs w:val="20"/>
                <w:lang w:val="en-US" w:eastAsia="zh-CN"/>
              </w:rPr>
            </w:pPr>
            <w:r>
              <w:rPr>
                <w:rFonts w:hint="eastAsia"/>
                <w:color w:val="auto"/>
                <w:sz w:val="20"/>
                <w:szCs w:val="20"/>
                <w:lang w:val="en-US" w:eastAsia="zh-CN"/>
              </w:rPr>
              <w:t>增加异丙醇风险物质</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478" w:type="dxa"/>
            <w:vAlign w:val="center"/>
          </w:tcPr>
          <w:p>
            <w:pPr>
              <w:pStyle w:val="14"/>
              <w:keepNext w:val="0"/>
              <w:keepLines w:val="0"/>
              <w:pageBreakBefore w:val="0"/>
              <w:widowControl w:val="0"/>
              <w:kinsoku/>
              <w:wordWrap/>
              <w:overflowPunct/>
              <w:topLinePunct w:val="0"/>
              <w:autoSpaceDE w:val="0"/>
              <w:autoSpaceDN w:val="0"/>
              <w:bidi w:val="0"/>
              <w:adjustRightInd w:val="0"/>
              <w:snapToGrid/>
              <w:spacing w:line="240" w:lineRule="atLeast"/>
              <w:jc w:val="center"/>
              <w:textAlignment w:val="auto"/>
              <w:rPr>
                <w:rFonts w:hint="default" w:ascii="宋体" w:hAnsi="Times New Roman" w:eastAsia="宋体" w:cs="宋体"/>
                <w:color w:val="auto"/>
                <w:sz w:val="20"/>
                <w:szCs w:val="20"/>
                <w:lang w:val="en-US" w:eastAsia="zh-CN"/>
              </w:rPr>
            </w:pPr>
            <w:r>
              <w:rPr>
                <w:rFonts w:hint="eastAsia" w:ascii="宋体" w:hAnsi="Times New Roman" w:eastAsia="宋体" w:cs="宋体"/>
                <w:color w:val="auto"/>
                <w:sz w:val="20"/>
                <w:szCs w:val="20"/>
                <w:lang w:val="en-US" w:eastAsia="zh-CN"/>
              </w:rPr>
              <w:t>大气环境风险受体</w:t>
            </w:r>
          </w:p>
        </w:tc>
        <w:tc>
          <w:tcPr>
            <w:tcW w:w="2328" w:type="dxa"/>
            <w:vAlign w:val="center"/>
          </w:tcPr>
          <w:p>
            <w:pPr>
              <w:pStyle w:val="14"/>
              <w:keepNext w:val="0"/>
              <w:keepLines w:val="0"/>
              <w:pageBreakBefore w:val="0"/>
              <w:widowControl w:val="0"/>
              <w:kinsoku/>
              <w:wordWrap/>
              <w:overflowPunct/>
              <w:topLinePunct w:val="0"/>
              <w:autoSpaceDE w:val="0"/>
              <w:autoSpaceDN w:val="0"/>
              <w:bidi w:val="0"/>
              <w:adjustRightInd w:val="0"/>
              <w:snapToGrid/>
              <w:spacing w:line="240" w:lineRule="atLeast"/>
              <w:jc w:val="center"/>
              <w:textAlignment w:val="auto"/>
              <w:rPr>
                <w:rFonts w:hint="default" w:ascii="宋体" w:hAnsi="Times New Roman" w:eastAsia="宋体" w:cs="宋体"/>
                <w:color w:val="auto"/>
                <w:sz w:val="20"/>
                <w:szCs w:val="20"/>
                <w:lang w:val="en-US" w:eastAsia="zh-CN"/>
              </w:rPr>
            </w:pPr>
            <w:r>
              <w:rPr>
                <w:rFonts w:hint="eastAsia" w:ascii="宋体" w:hAnsi="Times New Roman" w:eastAsia="宋体" w:cs="宋体"/>
                <w:color w:val="auto"/>
                <w:sz w:val="20"/>
                <w:szCs w:val="20"/>
                <w:lang w:val="en-US" w:eastAsia="zh-CN"/>
              </w:rPr>
              <w:t>大气环境风险受体等级为E1</w:t>
            </w:r>
          </w:p>
        </w:tc>
        <w:tc>
          <w:tcPr>
            <w:tcW w:w="2599" w:type="dxa"/>
            <w:vAlign w:val="center"/>
          </w:tcPr>
          <w:p>
            <w:pPr>
              <w:pStyle w:val="14"/>
              <w:keepNext w:val="0"/>
              <w:keepLines w:val="0"/>
              <w:pageBreakBefore w:val="0"/>
              <w:widowControl w:val="0"/>
              <w:kinsoku/>
              <w:wordWrap/>
              <w:overflowPunct/>
              <w:topLinePunct w:val="0"/>
              <w:autoSpaceDE w:val="0"/>
              <w:autoSpaceDN w:val="0"/>
              <w:bidi w:val="0"/>
              <w:adjustRightInd w:val="0"/>
              <w:snapToGrid/>
              <w:spacing w:line="240" w:lineRule="atLeast"/>
              <w:jc w:val="center"/>
              <w:textAlignment w:val="auto"/>
              <w:rPr>
                <w:rFonts w:hint="default" w:ascii="宋体" w:hAnsi="Times New Roman" w:eastAsia="宋体" w:cs="宋体"/>
                <w:color w:val="auto"/>
                <w:sz w:val="20"/>
                <w:szCs w:val="20"/>
                <w:lang w:val="en-US" w:eastAsia="zh-CN"/>
              </w:rPr>
            </w:pPr>
            <w:r>
              <w:rPr>
                <w:rFonts w:hint="eastAsia" w:ascii="宋体" w:hAnsi="Times New Roman" w:eastAsia="宋体" w:cs="宋体"/>
                <w:color w:val="auto"/>
                <w:sz w:val="20"/>
                <w:szCs w:val="20"/>
                <w:lang w:val="en-US" w:eastAsia="zh-CN"/>
              </w:rPr>
              <w:t>大气环境风险受体等级为E1</w:t>
            </w:r>
          </w:p>
        </w:tc>
        <w:tc>
          <w:tcPr>
            <w:tcW w:w="2117" w:type="dxa"/>
            <w:vAlign w:val="center"/>
          </w:tcPr>
          <w:p>
            <w:pPr>
              <w:pStyle w:val="14"/>
              <w:keepNext w:val="0"/>
              <w:keepLines w:val="0"/>
              <w:pageBreakBefore w:val="0"/>
              <w:widowControl w:val="0"/>
              <w:kinsoku/>
              <w:wordWrap/>
              <w:overflowPunct/>
              <w:topLinePunct w:val="0"/>
              <w:autoSpaceDE w:val="0"/>
              <w:autoSpaceDN w:val="0"/>
              <w:bidi w:val="0"/>
              <w:adjustRightInd w:val="0"/>
              <w:snapToGrid/>
              <w:spacing w:line="240" w:lineRule="atLeast"/>
              <w:jc w:val="center"/>
              <w:textAlignment w:val="auto"/>
              <w:rPr>
                <w:rFonts w:hint="default" w:ascii="宋体" w:hAnsi="Times New Roman" w:eastAsia="宋体" w:cs="宋体"/>
                <w:color w:val="auto"/>
                <w:sz w:val="20"/>
                <w:szCs w:val="20"/>
                <w:lang w:val="en-US" w:eastAsia="zh-CN"/>
              </w:rPr>
            </w:pPr>
            <w:r>
              <w:rPr>
                <w:rFonts w:hint="eastAsia" w:ascii="宋体" w:hAnsi="Times New Roman" w:eastAsia="宋体" w:cs="宋体"/>
                <w:color w:val="auto"/>
                <w:sz w:val="20"/>
                <w:szCs w:val="20"/>
                <w:lang w:val="en-US" w:eastAsia="zh-CN"/>
              </w:rPr>
              <w:t>不变</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478" w:type="dxa"/>
            <w:vAlign w:val="center"/>
          </w:tcPr>
          <w:p>
            <w:pPr>
              <w:pStyle w:val="14"/>
              <w:keepNext w:val="0"/>
              <w:keepLines w:val="0"/>
              <w:pageBreakBefore w:val="0"/>
              <w:widowControl w:val="0"/>
              <w:kinsoku/>
              <w:wordWrap/>
              <w:overflowPunct/>
              <w:topLinePunct w:val="0"/>
              <w:autoSpaceDE w:val="0"/>
              <w:autoSpaceDN w:val="0"/>
              <w:bidi w:val="0"/>
              <w:adjustRightInd w:val="0"/>
              <w:snapToGrid/>
              <w:spacing w:line="240" w:lineRule="atLeast"/>
              <w:jc w:val="center"/>
              <w:textAlignment w:val="auto"/>
              <w:rPr>
                <w:rFonts w:hint="default" w:ascii="宋体" w:hAnsi="Times New Roman" w:eastAsia="宋体" w:cs="宋体"/>
                <w:color w:val="auto"/>
                <w:sz w:val="20"/>
                <w:szCs w:val="20"/>
                <w:lang w:val="en-US" w:eastAsia="zh-CN"/>
              </w:rPr>
            </w:pPr>
            <w:r>
              <w:rPr>
                <w:rFonts w:hint="eastAsia" w:ascii="宋体" w:hAnsi="Times New Roman" w:eastAsia="宋体" w:cs="宋体"/>
                <w:color w:val="auto"/>
                <w:sz w:val="20"/>
                <w:szCs w:val="20"/>
                <w:lang w:val="en-US" w:eastAsia="zh-CN"/>
              </w:rPr>
              <w:t>水环境风险受体</w:t>
            </w:r>
          </w:p>
        </w:tc>
        <w:tc>
          <w:tcPr>
            <w:tcW w:w="2328" w:type="dxa"/>
            <w:vAlign w:val="center"/>
          </w:tcPr>
          <w:p>
            <w:pPr>
              <w:pStyle w:val="14"/>
              <w:keepNext w:val="0"/>
              <w:keepLines w:val="0"/>
              <w:pageBreakBefore w:val="0"/>
              <w:widowControl w:val="0"/>
              <w:kinsoku/>
              <w:wordWrap/>
              <w:overflowPunct/>
              <w:topLinePunct w:val="0"/>
              <w:autoSpaceDE w:val="0"/>
              <w:autoSpaceDN w:val="0"/>
              <w:bidi w:val="0"/>
              <w:adjustRightInd w:val="0"/>
              <w:snapToGrid/>
              <w:spacing w:line="240" w:lineRule="atLeast"/>
              <w:jc w:val="center"/>
              <w:textAlignment w:val="auto"/>
              <w:rPr>
                <w:rFonts w:hint="eastAsia" w:ascii="宋体" w:hAnsi="Times New Roman" w:eastAsia="宋体" w:cs="宋体"/>
                <w:color w:val="auto"/>
                <w:sz w:val="20"/>
                <w:szCs w:val="20"/>
                <w:lang w:val="en-US" w:eastAsia="zh-CN"/>
              </w:rPr>
            </w:pPr>
            <w:r>
              <w:rPr>
                <w:rFonts w:hint="eastAsia" w:ascii="宋体" w:hAnsi="Times New Roman" w:eastAsia="宋体" w:cs="宋体"/>
                <w:color w:val="auto"/>
                <w:sz w:val="20"/>
                <w:szCs w:val="20"/>
                <w:lang w:val="en-US" w:eastAsia="zh-CN"/>
              </w:rPr>
              <w:t>水环境风险受体等级为E2</w:t>
            </w:r>
          </w:p>
        </w:tc>
        <w:tc>
          <w:tcPr>
            <w:tcW w:w="2599" w:type="dxa"/>
            <w:vAlign w:val="center"/>
          </w:tcPr>
          <w:p>
            <w:pPr>
              <w:pStyle w:val="14"/>
              <w:keepNext w:val="0"/>
              <w:keepLines w:val="0"/>
              <w:pageBreakBefore w:val="0"/>
              <w:widowControl w:val="0"/>
              <w:kinsoku/>
              <w:wordWrap/>
              <w:overflowPunct/>
              <w:topLinePunct w:val="0"/>
              <w:autoSpaceDE w:val="0"/>
              <w:autoSpaceDN w:val="0"/>
              <w:bidi w:val="0"/>
              <w:adjustRightInd w:val="0"/>
              <w:snapToGrid/>
              <w:spacing w:line="240" w:lineRule="atLeast"/>
              <w:jc w:val="center"/>
              <w:textAlignment w:val="auto"/>
              <w:rPr>
                <w:rFonts w:hint="default" w:ascii="宋体" w:hAnsi="Times New Roman" w:eastAsia="宋体" w:cs="宋体"/>
                <w:color w:val="auto"/>
                <w:sz w:val="20"/>
                <w:szCs w:val="20"/>
                <w:lang w:val="en-US" w:eastAsia="zh-CN"/>
              </w:rPr>
            </w:pPr>
            <w:r>
              <w:rPr>
                <w:rFonts w:hint="eastAsia" w:ascii="宋体" w:hAnsi="Times New Roman" w:eastAsia="宋体" w:cs="宋体"/>
                <w:color w:val="auto"/>
                <w:sz w:val="20"/>
                <w:szCs w:val="20"/>
                <w:lang w:val="en-US" w:eastAsia="zh-CN"/>
              </w:rPr>
              <w:t>水环境风险受体等级为E2</w:t>
            </w:r>
          </w:p>
        </w:tc>
        <w:tc>
          <w:tcPr>
            <w:tcW w:w="2117" w:type="dxa"/>
            <w:vAlign w:val="center"/>
          </w:tcPr>
          <w:p>
            <w:pPr>
              <w:pStyle w:val="14"/>
              <w:keepNext w:val="0"/>
              <w:keepLines w:val="0"/>
              <w:pageBreakBefore w:val="0"/>
              <w:widowControl w:val="0"/>
              <w:kinsoku/>
              <w:wordWrap/>
              <w:overflowPunct/>
              <w:topLinePunct w:val="0"/>
              <w:autoSpaceDE w:val="0"/>
              <w:autoSpaceDN w:val="0"/>
              <w:bidi w:val="0"/>
              <w:adjustRightInd w:val="0"/>
              <w:snapToGrid/>
              <w:spacing w:line="240" w:lineRule="atLeast"/>
              <w:jc w:val="center"/>
              <w:textAlignment w:val="auto"/>
              <w:rPr>
                <w:rFonts w:hint="eastAsia" w:ascii="宋体" w:hAnsi="Times New Roman" w:eastAsia="宋体" w:cs="宋体"/>
                <w:color w:val="auto"/>
                <w:sz w:val="20"/>
                <w:szCs w:val="20"/>
                <w:lang w:val="en-US" w:eastAsia="zh-CN"/>
              </w:rPr>
            </w:pPr>
            <w:r>
              <w:rPr>
                <w:rFonts w:hint="eastAsia" w:ascii="宋体" w:hAnsi="Times New Roman" w:eastAsia="宋体" w:cs="宋体"/>
                <w:color w:val="auto"/>
                <w:sz w:val="20"/>
                <w:szCs w:val="20"/>
                <w:lang w:val="en-US" w:eastAsia="zh-CN"/>
              </w:rPr>
              <w:t>不变</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478" w:type="dxa"/>
            <w:vAlign w:val="center"/>
          </w:tcPr>
          <w:p>
            <w:pPr>
              <w:pStyle w:val="14"/>
              <w:keepNext w:val="0"/>
              <w:keepLines w:val="0"/>
              <w:pageBreakBefore w:val="0"/>
              <w:widowControl w:val="0"/>
              <w:kinsoku/>
              <w:wordWrap/>
              <w:overflowPunct/>
              <w:topLinePunct w:val="0"/>
              <w:autoSpaceDE w:val="0"/>
              <w:autoSpaceDN w:val="0"/>
              <w:bidi w:val="0"/>
              <w:adjustRightInd w:val="0"/>
              <w:snapToGrid/>
              <w:spacing w:line="240" w:lineRule="atLeast"/>
              <w:jc w:val="center"/>
              <w:textAlignment w:val="auto"/>
              <w:rPr>
                <w:rFonts w:hint="eastAsia" w:ascii="宋体" w:hAnsi="Times New Roman" w:eastAsia="宋体" w:cs="宋体"/>
                <w:color w:val="auto"/>
                <w:sz w:val="20"/>
                <w:szCs w:val="20"/>
                <w:lang w:val="en-US" w:eastAsia="zh-CN"/>
              </w:rPr>
            </w:pPr>
            <w:r>
              <w:rPr>
                <w:rFonts w:hint="eastAsia" w:ascii="宋体" w:hAnsi="Times New Roman" w:eastAsia="宋体" w:cs="宋体"/>
                <w:color w:val="auto"/>
                <w:sz w:val="20"/>
                <w:szCs w:val="20"/>
                <w:lang w:val="en-US" w:eastAsia="zh-CN"/>
              </w:rPr>
              <w:t>企业突发环境事件风险等级</w:t>
            </w:r>
          </w:p>
        </w:tc>
        <w:tc>
          <w:tcPr>
            <w:tcW w:w="2328" w:type="dxa"/>
            <w:vAlign w:val="center"/>
          </w:tcPr>
          <w:p>
            <w:pPr>
              <w:pStyle w:val="14"/>
              <w:keepNext w:val="0"/>
              <w:keepLines w:val="0"/>
              <w:pageBreakBefore w:val="0"/>
              <w:widowControl w:val="0"/>
              <w:kinsoku/>
              <w:wordWrap/>
              <w:overflowPunct/>
              <w:topLinePunct w:val="0"/>
              <w:autoSpaceDE w:val="0"/>
              <w:autoSpaceDN w:val="0"/>
              <w:bidi w:val="0"/>
              <w:adjustRightInd w:val="0"/>
              <w:snapToGrid/>
              <w:spacing w:line="240" w:lineRule="atLeast"/>
              <w:jc w:val="center"/>
              <w:textAlignment w:val="auto"/>
              <w:rPr>
                <w:rFonts w:hint="eastAsia" w:ascii="宋体" w:hAnsi="Times New Roman" w:eastAsia="宋体" w:cs="宋体"/>
                <w:color w:val="auto"/>
                <w:sz w:val="20"/>
                <w:szCs w:val="20"/>
                <w:lang w:val="en-US" w:eastAsia="zh-CN"/>
              </w:rPr>
            </w:pPr>
            <w:r>
              <w:rPr>
                <w:rFonts w:hint="eastAsia" w:ascii="宋体" w:hAnsi="Times New Roman" w:eastAsia="宋体" w:cs="宋体"/>
                <w:color w:val="auto"/>
                <w:sz w:val="20"/>
                <w:szCs w:val="20"/>
                <w:lang w:val="en-US" w:eastAsia="zh-CN"/>
              </w:rPr>
              <w:t>较大［较大-大气（Q2-M1-E1）+较大-水（Q2-M1-E2）］</w:t>
            </w:r>
          </w:p>
        </w:tc>
        <w:tc>
          <w:tcPr>
            <w:tcW w:w="2599" w:type="dxa"/>
            <w:vAlign w:val="center"/>
          </w:tcPr>
          <w:p>
            <w:pPr>
              <w:pStyle w:val="14"/>
              <w:keepNext w:val="0"/>
              <w:keepLines w:val="0"/>
              <w:pageBreakBefore w:val="0"/>
              <w:widowControl w:val="0"/>
              <w:kinsoku/>
              <w:wordWrap/>
              <w:overflowPunct/>
              <w:topLinePunct w:val="0"/>
              <w:autoSpaceDE w:val="0"/>
              <w:autoSpaceDN w:val="0"/>
              <w:bidi w:val="0"/>
              <w:adjustRightInd w:val="0"/>
              <w:snapToGrid/>
              <w:spacing w:line="240" w:lineRule="atLeast"/>
              <w:jc w:val="center"/>
              <w:textAlignment w:val="auto"/>
              <w:rPr>
                <w:rFonts w:hint="eastAsia" w:ascii="宋体" w:hAnsi="Times New Roman" w:eastAsia="宋体" w:cs="宋体"/>
                <w:color w:val="auto"/>
                <w:sz w:val="20"/>
                <w:szCs w:val="20"/>
                <w:lang w:val="en-US" w:eastAsia="zh-CN"/>
              </w:rPr>
            </w:pPr>
            <w:r>
              <w:rPr>
                <w:rFonts w:hint="eastAsia" w:ascii="宋体" w:hAnsi="Times New Roman" w:eastAsia="宋体" w:cs="宋体"/>
                <w:color w:val="auto"/>
                <w:sz w:val="20"/>
                <w:szCs w:val="20"/>
                <w:lang w:val="en-US" w:eastAsia="zh-CN"/>
              </w:rPr>
              <w:t>较大［较大-大气（Q2-M1-E1）+较大-水（Q2-M1-E2）］</w:t>
            </w:r>
          </w:p>
        </w:tc>
        <w:tc>
          <w:tcPr>
            <w:tcW w:w="2117" w:type="dxa"/>
            <w:vAlign w:val="center"/>
          </w:tcPr>
          <w:p>
            <w:pPr>
              <w:pStyle w:val="14"/>
              <w:keepNext w:val="0"/>
              <w:keepLines w:val="0"/>
              <w:pageBreakBefore w:val="0"/>
              <w:widowControl w:val="0"/>
              <w:kinsoku/>
              <w:wordWrap/>
              <w:overflowPunct/>
              <w:topLinePunct w:val="0"/>
              <w:autoSpaceDE w:val="0"/>
              <w:autoSpaceDN w:val="0"/>
              <w:bidi w:val="0"/>
              <w:adjustRightInd w:val="0"/>
              <w:snapToGrid/>
              <w:spacing w:line="240" w:lineRule="atLeast"/>
              <w:jc w:val="center"/>
              <w:textAlignment w:val="auto"/>
              <w:rPr>
                <w:rFonts w:hint="eastAsia" w:ascii="宋体" w:hAnsi="Times New Roman" w:eastAsia="宋体" w:cs="宋体"/>
                <w:color w:val="auto"/>
                <w:sz w:val="20"/>
                <w:szCs w:val="20"/>
                <w:lang w:val="en-US" w:eastAsia="zh-CN"/>
              </w:rPr>
            </w:pPr>
            <w:r>
              <w:rPr>
                <w:rFonts w:hint="eastAsia" w:ascii="宋体" w:hAnsi="Times New Roman" w:eastAsia="宋体" w:cs="宋体"/>
                <w:color w:val="auto"/>
                <w:sz w:val="20"/>
                <w:szCs w:val="20"/>
                <w:lang w:val="en-US" w:eastAsia="zh-CN"/>
              </w:rPr>
              <w:t>不变</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478" w:type="dxa"/>
            <w:vAlign w:val="center"/>
          </w:tcPr>
          <w:p>
            <w:pPr>
              <w:pStyle w:val="14"/>
              <w:keepNext w:val="0"/>
              <w:keepLines w:val="0"/>
              <w:pageBreakBefore w:val="0"/>
              <w:widowControl w:val="0"/>
              <w:kinsoku/>
              <w:wordWrap/>
              <w:overflowPunct/>
              <w:topLinePunct w:val="0"/>
              <w:autoSpaceDE w:val="0"/>
              <w:autoSpaceDN w:val="0"/>
              <w:bidi w:val="0"/>
              <w:adjustRightInd w:val="0"/>
              <w:snapToGrid/>
              <w:spacing w:line="240" w:lineRule="atLeast"/>
              <w:jc w:val="center"/>
              <w:textAlignment w:val="auto"/>
              <w:rPr>
                <w:rFonts w:hint="eastAsia" w:ascii="宋体" w:hAnsi="Times New Roman" w:eastAsia="宋体" w:cs="宋体"/>
                <w:color w:val="auto"/>
                <w:sz w:val="20"/>
                <w:szCs w:val="20"/>
                <w:lang w:val="en-US" w:eastAsia="zh-CN"/>
              </w:rPr>
            </w:pPr>
            <w:r>
              <w:rPr>
                <w:rFonts w:hint="eastAsia" w:ascii="宋体" w:hAnsi="Times New Roman" w:eastAsia="宋体" w:cs="宋体"/>
                <w:color w:val="auto"/>
                <w:sz w:val="20"/>
                <w:szCs w:val="20"/>
                <w:lang w:val="en-US" w:eastAsia="zh-CN"/>
              </w:rPr>
              <w:t>（应急资源调查报告）企业应急组织机构</w:t>
            </w:r>
          </w:p>
        </w:tc>
        <w:tc>
          <w:tcPr>
            <w:tcW w:w="2328" w:type="dxa"/>
            <w:vAlign w:val="center"/>
          </w:tcPr>
          <w:p>
            <w:pPr>
              <w:pStyle w:val="14"/>
              <w:keepNext w:val="0"/>
              <w:keepLines w:val="0"/>
              <w:pageBreakBefore w:val="0"/>
              <w:widowControl w:val="0"/>
              <w:kinsoku/>
              <w:wordWrap/>
              <w:overflowPunct/>
              <w:topLinePunct w:val="0"/>
              <w:autoSpaceDE w:val="0"/>
              <w:autoSpaceDN w:val="0"/>
              <w:bidi w:val="0"/>
              <w:adjustRightInd w:val="0"/>
              <w:snapToGrid/>
              <w:spacing w:line="240" w:lineRule="atLeast"/>
              <w:jc w:val="center"/>
              <w:textAlignment w:val="auto"/>
              <w:rPr>
                <w:rFonts w:hint="eastAsia" w:ascii="宋体" w:hAnsi="Times New Roman" w:eastAsia="宋体" w:cs="宋体"/>
                <w:color w:val="auto"/>
                <w:sz w:val="20"/>
                <w:szCs w:val="20"/>
                <w:lang w:val="en-US" w:eastAsia="zh-CN"/>
              </w:rPr>
            </w:pPr>
            <w:r>
              <w:rPr>
                <w:rFonts w:hint="eastAsia" w:ascii="宋体" w:hAnsi="Times New Roman" w:eastAsia="宋体" w:cs="宋体"/>
                <w:color w:val="auto"/>
                <w:sz w:val="20"/>
                <w:szCs w:val="20"/>
                <w:lang w:val="en-US" w:eastAsia="zh-CN"/>
              </w:rPr>
              <w:t>企业应急组织机构</w:t>
            </w:r>
          </w:p>
        </w:tc>
        <w:tc>
          <w:tcPr>
            <w:tcW w:w="2599" w:type="dxa"/>
            <w:vAlign w:val="center"/>
          </w:tcPr>
          <w:p>
            <w:pPr>
              <w:pStyle w:val="14"/>
              <w:keepNext w:val="0"/>
              <w:keepLines w:val="0"/>
              <w:pageBreakBefore w:val="0"/>
              <w:widowControl w:val="0"/>
              <w:kinsoku/>
              <w:wordWrap/>
              <w:overflowPunct/>
              <w:topLinePunct w:val="0"/>
              <w:autoSpaceDE w:val="0"/>
              <w:autoSpaceDN w:val="0"/>
              <w:bidi w:val="0"/>
              <w:adjustRightInd w:val="0"/>
              <w:snapToGrid/>
              <w:spacing w:line="240" w:lineRule="atLeast"/>
              <w:jc w:val="center"/>
              <w:textAlignment w:val="auto"/>
              <w:rPr>
                <w:rFonts w:hint="default" w:ascii="宋体" w:hAnsi="Times New Roman" w:eastAsia="宋体" w:cs="宋体"/>
                <w:color w:val="auto"/>
                <w:sz w:val="20"/>
                <w:szCs w:val="20"/>
                <w:lang w:val="en-US" w:eastAsia="zh-CN"/>
              </w:rPr>
            </w:pPr>
            <w:r>
              <w:rPr>
                <w:rFonts w:hint="eastAsia" w:ascii="宋体" w:hAnsi="Times New Roman" w:eastAsia="宋体" w:cs="宋体"/>
                <w:color w:val="auto"/>
                <w:sz w:val="20"/>
                <w:szCs w:val="20"/>
                <w:lang w:val="en-US" w:eastAsia="zh-CN"/>
              </w:rPr>
              <w:t>企业应急组织机构人员调整</w:t>
            </w:r>
          </w:p>
        </w:tc>
        <w:tc>
          <w:tcPr>
            <w:tcW w:w="2117" w:type="dxa"/>
            <w:vAlign w:val="center"/>
          </w:tcPr>
          <w:p>
            <w:pPr>
              <w:pStyle w:val="14"/>
              <w:keepNext w:val="0"/>
              <w:keepLines w:val="0"/>
              <w:pageBreakBefore w:val="0"/>
              <w:widowControl w:val="0"/>
              <w:kinsoku/>
              <w:wordWrap/>
              <w:overflowPunct/>
              <w:topLinePunct w:val="0"/>
              <w:autoSpaceDE w:val="0"/>
              <w:autoSpaceDN w:val="0"/>
              <w:bidi w:val="0"/>
              <w:adjustRightInd w:val="0"/>
              <w:snapToGrid/>
              <w:spacing w:line="240" w:lineRule="atLeast"/>
              <w:jc w:val="center"/>
              <w:textAlignment w:val="auto"/>
              <w:rPr>
                <w:rFonts w:hint="eastAsia" w:ascii="宋体" w:hAnsi="Times New Roman" w:eastAsia="宋体" w:cs="宋体"/>
                <w:color w:val="auto"/>
                <w:sz w:val="20"/>
                <w:szCs w:val="20"/>
                <w:lang w:val="en-US" w:eastAsia="zh-CN"/>
              </w:rPr>
            </w:pPr>
            <w:r>
              <w:rPr>
                <w:rFonts w:hint="eastAsia" w:ascii="宋体" w:hAnsi="Times New Roman" w:eastAsia="宋体" w:cs="宋体"/>
                <w:color w:val="auto"/>
                <w:sz w:val="20"/>
                <w:szCs w:val="20"/>
                <w:lang w:val="en-US" w:eastAsia="zh-CN"/>
              </w:rPr>
              <w:t>企业应急组织机构人员调整</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478" w:type="dxa"/>
            <w:vAlign w:val="center"/>
          </w:tcPr>
          <w:p>
            <w:pPr>
              <w:pStyle w:val="14"/>
              <w:keepNext w:val="0"/>
              <w:keepLines w:val="0"/>
              <w:pageBreakBefore w:val="0"/>
              <w:widowControl w:val="0"/>
              <w:kinsoku/>
              <w:wordWrap/>
              <w:overflowPunct/>
              <w:topLinePunct w:val="0"/>
              <w:autoSpaceDE w:val="0"/>
              <w:autoSpaceDN w:val="0"/>
              <w:bidi w:val="0"/>
              <w:adjustRightInd w:val="0"/>
              <w:snapToGrid/>
              <w:spacing w:line="240" w:lineRule="atLeast"/>
              <w:jc w:val="center"/>
              <w:textAlignment w:val="auto"/>
              <w:rPr>
                <w:rFonts w:hint="default" w:ascii="宋体" w:hAnsi="Times New Roman" w:eastAsia="宋体" w:cs="宋体"/>
                <w:color w:val="auto"/>
                <w:sz w:val="20"/>
                <w:szCs w:val="20"/>
                <w:lang w:val="en-US" w:eastAsia="zh-CN"/>
              </w:rPr>
            </w:pPr>
            <w:r>
              <w:rPr>
                <w:rFonts w:hint="eastAsia" w:ascii="宋体" w:hAnsi="Times New Roman" w:eastAsia="宋体" w:cs="宋体"/>
                <w:color w:val="auto"/>
                <w:sz w:val="20"/>
                <w:szCs w:val="20"/>
                <w:lang w:val="en-US" w:eastAsia="zh-CN"/>
              </w:rPr>
              <w:t>（应急预案）应急组织机构成员</w:t>
            </w:r>
          </w:p>
        </w:tc>
        <w:tc>
          <w:tcPr>
            <w:tcW w:w="2328" w:type="dxa"/>
            <w:vAlign w:val="center"/>
          </w:tcPr>
          <w:p>
            <w:pPr>
              <w:pStyle w:val="14"/>
              <w:keepNext w:val="0"/>
              <w:keepLines w:val="0"/>
              <w:pageBreakBefore w:val="0"/>
              <w:widowControl w:val="0"/>
              <w:kinsoku/>
              <w:wordWrap/>
              <w:overflowPunct/>
              <w:topLinePunct w:val="0"/>
              <w:autoSpaceDE w:val="0"/>
              <w:autoSpaceDN w:val="0"/>
              <w:bidi w:val="0"/>
              <w:adjustRightInd w:val="0"/>
              <w:snapToGrid/>
              <w:spacing w:line="240" w:lineRule="atLeast"/>
              <w:jc w:val="center"/>
              <w:textAlignment w:val="auto"/>
              <w:rPr>
                <w:rFonts w:hint="default" w:ascii="宋体" w:hAnsi="Times New Roman" w:eastAsia="宋体" w:cs="宋体"/>
                <w:color w:val="auto"/>
                <w:sz w:val="20"/>
                <w:szCs w:val="20"/>
                <w:lang w:val="en-US" w:eastAsia="zh-CN"/>
              </w:rPr>
            </w:pPr>
            <w:r>
              <w:rPr>
                <w:rFonts w:hint="eastAsia" w:ascii="宋体" w:hAnsi="Times New Roman" w:eastAsia="宋体" w:cs="宋体"/>
                <w:color w:val="auto"/>
                <w:sz w:val="20"/>
                <w:szCs w:val="20"/>
                <w:lang w:val="en-US" w:eastAsia="zh-CN"/>
              </w:rPr>
              <w:t>通信联络组、抢险抢修组、医疗救护组、应急消防组、治安组、物资保障组、应急监测组、专家组</w:t>
            </w:r>
          </w:p>
        </w:tc>
        <w:tc>
          <w:tcPr>
            <w:tcW w:w="2599" w:type="dxa"/>
            <w:vAlign w:val="center"/>
          </w:tcPr>
          <w:p>
            <w:pPr>
              <w:pStyle w:val="14"/>
              <w:keepNext w:val="0"/>
              <w:keepLines w:val="0"/>
              <w:pageBreakBefore w:val="0"/>
              <w:widowControl w:val="0"/>
              <w:kinsoku/>
              <w:wordWrap/>
              <w:overflowPunct/>
              <w:topLinePunct w:val="0"/>
              <w:autoSpaceDE w:val="0"/>
              <w:autoSpaceDN w:val="0"/>
              <w:bidi w:val="0"/>
              <w:adjustRightInd w:val="0"/>
              <w:snapToGrid/>
              <w:spacing w:line="240" w:lineRule="atLeast"/>
              <w:jc w:val="center"/>
              <w:textAlignment w:val="auto"/>
              <w:rPr>
                <w:rFonts w:hint="default" w:ascii="宋体" w:hAnsi="Times New Roman" w:eastAsia="宋体" w:cs="宋体"/>
                <w:color w:val="auto"/>
                <w:sz w:val="20"/>
                <w:szCs w:val="20"/>
                <w:lang w:val="en-US" w:eastAsia="zh-CN"/>
              </w:rPr>
            </w:pPr>
            <w:r>
              <w:rPr>
                <w:rFonts w:hint="eastAsia" w:ascii="宋体" w:hAnsi="Times New Roman" w:eastAsia="宋体" w:cs="宋体"/>
                <w:color w:val="auto"/>
                <w:sz w:val="20"/>
                <w:szCs w:val="20"/>
                <w:lang w:val="en-US" w:eastAsia="zh-CN"/>
              </w:rPr>
              <w:t>企业应急组织机构人员调整</w:t>
            </w:r>
          </w:p>
        </w:tc>
        <w:tc>
          <w:tcPr>
            <w:tcW w:w="2117" w:type="dxa"/>
            <w:vAlign w:val="center"/>
          </w:tcPr>
          <w:p>
            <w:pPr>
              <w:pStyle w:val="14"/>
              <w:keepNext w:val="0"/>
              <w:keepLines w:val="0"/>
              <w:pageBreakBefore w:val="0"/>
              <w:widowControl w:val="0"/>
              <w:kinsoku/>
              <w:wordWrap/>
              <w:overflowPunct/>
              <w:topLinePunct w:val="0"/>
              <w:autoSpaceDE w:val="0"/>
              <w:autoSpaceDN w:val="0"/>
              <w:bidi w:val="0"/>
              <w:adjustRightInd w:val="0"/>
              <w:snapToGrid/>
              <w:spacing w:line="240" w:lineRule="atLeast"/>
              <w:jc w:val="center"/>
              <w:textAlignment w:val="auto"/>
              <w:rPr>
                <w:rFonts w:hint="eastAsia" w:ascii="宋体" w:hAnsi="Times New Roman" w:eastAsia="宋体" w:cs="宋体"/>
                <w:color w:val="auto"/>
                <w:sz w:val="20"/>
                <w:szCs w:val="20"/>
                <w:lang w:val="en-US" w:eastAsia="zh-CN"/>
              </w:rPr>
            </w:pPr>
            <w:r>
              <w:rPr>
                <w:rFonts w:hint="eastAsia" w:ascii="宋体" w:hAnsi="Times New Roman" w:eastAsia="宋体" w:cs="宋体"/>
                <w:color w:val="auto"/>
                <w:sz w:val="20"/>
                <w:szCs w:val="20"/>
                <w:lang w:val="en-US" w:eastAsia="zh-CN"/>
              </w:rPr>
              <w:t>调整应急组织小组，根据人员变动情况相应更新</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478" w:type="dxa"/>
            <w:vAlign w:val="center"/>
          </w:tcPr>
          <w:p>
            <w:pPr>
              <w:pStyle w:val="14"/>
              <w:keepNext w:val="0"/>
              <w:keepLines w:val="0"/>
              <w:pageBreakBefore w:val="0"/>
              <w:widowControl w:val="0"/>
              <w:kinsoku/>
              <w:wordWrap/>
              <w:overflowPunct/>
              <w:topLinePunct w:val="0"/>
              <w:autoSpaceDE w:val="0"/>
              <w:autoSpaceDN w:val="0"/>
              <w:bidi w:val="0"/>
              <w:adjustRightInd w:val="0"/>
              <w:snapToGrid/>
              <w:spacing w:line="240" w:lineRule="atLeast"/>
              <w:jc w:val="center"/>
              <w:textAlignment w:val="auto"/>
              <w:rPr>
                <w:rFonts w:hint="default" w:ascii="宋体" w:hAnsi="Times New Roman" w:eastAsia="宋体" w:cs="宋体"/>
                <w:color w:val="auto"/>
                <w:sz w:val="20"/>
                <w:szCs w:val="20"/>
                <w:lang w:val="en-US" w:eastAsia="zh-CN"/>
              </w:rPr>
            </w:pPr>
            <w:r>
              <w:rPr>
                <w:rFonts w:hint="eastAsia" w:ascii="宋体" w:hAnsi="Times New Roman" w:eastAsia="宋体" w:cs="宋体"/>
                <w:color w:val="auto"/>
                <w:sz w:val="20"/>
                <w:szCs w:val="20"/>
                <w:lang w:val="en-US" w:eastAsia="zh-CN"/>
              </w:rPr>
              <w:t>突发环境事件综合应急预案</w:t>
            </w:r>
          </w:p>
        </w:tc>
        <w:tc>
          <w:tcPr>
            <w:tcW w:w="2328" w:type="dxa"/>
            <w:vAlign w:val="center"/>
          </w:tcPr>
          <w:p>
            <w:pPr>
              <w:pStyle w:val="14"/>
              <w:keepNext w:val="0"/>
              <w:keepLines w:val="0"/>
              <w:pageBreakBefore w:val="0"/>
              <w:widowControl w:val="0"/>
              <w:kinsoku/>
              <w:wordWrap/>
              <w:overflowPunct/>
              <w:topLinePunct w:val="0"/>
              <w:autoSpaceDE w:val="0"/>
              <w:autoSpaceDN w:val="0"/>
              <w:bidi w:val="0"/>
              <w:adjustRightInd w:val="0"/>
              <w:snapToGrid/>
              <w:spacing w:line="240" w:lineRule="atLeast"/>
              <w:jc w:val="center"/>
              <w:textAlignment w:val="auto"/>
              <w:rPr>
                <w:rFonts w:hint="default" w:ascii="宋体" w:hAnsi="Times New Roman" w:eastAsia="宋体" w:cs="宋体"/>
                <w:color w:val="auto"/>
                <w:sz w:val="20"/>
                <w:szCs w:val="20"/>
                <w:lang w:val="en-US" w:eastAsia="zh-CN"/>
              </w:rPr>
            </w:pPr>
            <w:r>
              <w:rPr>
                <w:rFonts w:hint="eastAsia" w:ascii="宋体" w:hAnsi="Times New Roman" w:eastAsia="宋体" w:cs="宋体"/>
                <w:color w:val="auto"/>
                <w:sz w:val="20"/>
                <w:szCs w:val="20"/>
                <w:lang w:val="en-US" w:eastAsia="zh-CN"/>
              </w:rPr>
              <w:t>危化品泄露应急处置卡</w:t>
            </w:r>
          </w:p>
        </w:tc>
        <w:tc>
          <w:tcPr>
            <w:tcW w:w="2599" w:type="dxa"/>
            <w:vAlign w:val="center"/>
          </w:tcPr>
          <w:p>
            <w:pPr>
              <w:pStyle w:val="14"/>
              <w:keepNext w:val="0"/>
              <w:keepLines w:val="0"/>
              <w:pageBreakBefore w:val="0"/>
              <w:widowControl w:val="0"/>
              <w:kinsoku/>
              <w:wordWrap/>
              <w:overflowPunct/>
              <w:topLinePunct w:val="0"/>
              <w:autoSpaceDE w:val="0"/>
              <w:autoSpaceDN w:val="0"/>
              <w:bidi w:val="0"/>
              <w:adjustRightInd w:val="0"/>
              <w:snapToGrid/>
              <w:spacing w:line="240" w:lineRule="atLeast"/>
              <w:jc w:val="center"/>
              <w:textAlignment w:val="auto"/>
              <w:rPr>
                <w:rFonts w:hint="default" w:ascii="宋体" w:hAnsi="Times New Roman" w:eastAsia="宋体" w:cs="宋体"/>
                <w:color w:val="auto"/>
                <w:sz w:val="20"/>
                <w:szCs w:val="20"/>
                <w:lang w:val="en-US" w:eastAsia="zh-CN"/>
              </w:rPr>
            </w:pPr>
            <w:r>
              <w:rPr>
                <w:rFonts w:hint="eastAsia" w:ascii="宋体" w:hAnsi="Times New Roman" w:eastAsia="宋体" w:cs="宋体"/>
                <w:color w:val="auto"/>
                <w:sz w:val="20"/>
                <w:szCs w:val="20"/>
                <w:lang w:val="en-US" w:eastAsia="zh-CN"/>
              </w:rPr>
              <w:t>危化品泄露应急处置卡</w:t>
            </w:r>
          </w:p>
        </w:tc>
        <w:tc>
          <w:tcPr>
            <w:tcW w:w="2117" w:type="dxa"/>
            <w:vAlign w:val="center"/>
          </w:tcPr>
          <w:p>
            <w:pPr>
              <w:pStyle w:val="14"/>
              <w:keepNext w:val="0"/>
              <w:keepLines w:val="0"/>
              <w:pageBreakBefore w:val="0"/>
              <w:widowControl w:val="0"/>
              <w:kinsoku/>
              <w:wordWrap/>
              <w:overflowPunct/>
              <w:topLinePunct w:val="0"/>
              <w:autoSpaceDE w:val="0"/>
              <w:autoSpaceDN w:val="0"/>
              <w:bidi w:val="0"/>
              <w:adjustRightInd w:val="0"/>
              <w:snapToGrid/>
              <w:spacing w:line="240" w:lineRule="atLeast"/>
              <w:jc w:val="center"/>
              <w:textAlignment w:val="auto"/>
              <w:rPr>
                <w:rFonts w:hint="default" w:ascii="宋体" w:hAnsi="Times New Roman" w:eastAsia="宋体" w:cs="宋体"/>
                <w:color w:val="auto"/>
                <w:sz w:val="20"/>
                <w:szCs w:val="20"/>
                <w:lang w:val="en-US" w:eastAsia="zh-CN"/>
              </w:rPr>
            </w:pPr>
            <w:r>
              <w:rPr>
                <w:rFonts w:hint="eastAsia" w:ascii="宋体" w:hAnsi="Times New Roman" w:eastAsia="宋体" w:cs="宋体"/>
                <w:color w:val="auto"/>
                <w:sz w:val="20"/>
                <w:szCs w:val="20"/>
                <w:lang w:val="en-US" w:eastAsia="zh-CN"/>
              </w:rPr>
              <w:t>新增异丙醇泄露应急处置卡</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478" w:type="dxa"/>
            <w:vAlign w:val="center"/>
          </w:tcPr>
          <w:p>
            <w:pPr>
              <w:pStyle w:val="14"/>
              <w:keepNext w:val="0"/>
              <w:keepLines w:val="0"/>
              <w:pageBreakBefore w:val="0"/>
              <w:widowControl w:val="0"/>
              <w:kinsoku/>
              <w:wordWrap/>
              <w:overflowPunct/>
              <w:topLinePunct w:val="0"/>
              <w:autoSpaceDE w:val="0"/>
              <w:autoSpaceDN w:val="0"/>
              <w:bidi w:val="0"/>
              <w:adjustRightInd w:val="0"/>
              <w:snapToGrid/>
              <w:spacing w:line="240" w:lineRule="atLeast"/>
              <w:jc w:val="center"/>
              <w:textAlignment w:val="auto"/>
              <w:rPr>
                <w:rFonts w:hint="default" w:ascii="宋体" w:hAnsi="Times New Roman" w:eastAsia="宋体" w:cs="宋体"/>
                <w:color w:val="auto"/>
                <w:sz w:val="20"/>
                <w:szCs w:val="20"/>
                <w:lang w:val="en-US" w:eastAsia="zh-CN"/>
              </w:rPr>
            </w:pPr>
            <w:bookmarkStart w:id="17" w:name="_Toc77620000"/>
            <w:r>
              <w:rPr>
                <w:rFonts w:hint="eastAsia" w:ascii="宋体" w:hAnsi="Times New Roman" w:eastAsia="宋体" w:cs="宋体"/>
                <w:color w:val="auto"/>
                <w:sz w:val="20"/>
                <w:szCs w:val="20"/>
                <w:lang w:val="en-US" w:eastAsia="zh-CN"/>
              </w:rPr>
              <w:t>附件</w:t>
            </w:r>
          </w:p>
        </w:tc>
        <w:tc>
          <w:tcPr>
            <w:tcW w:w="2328" w:type="dxa"/>
            <w:vAlign w:val="center"/>
          </w:tcPr>
          <w:p>
            <w:pPr>
              <w:pStyle w:val="14"/>
              <w:keepNext w:val="0"/>
              <w:keepLines w:val="0"/>
              <w:pageBreakBefore w:val="0"/>
              <w:widowControl w:val="0"/>
              <w:kinsoku/>
              <w:wordWrap/>
              <w:overflowPunct/>
              <w:topLinePunct w:val="0"/>
              <w:autoSpaceDE w:val="0"/>
              <w:autoSpaceDN w:val="0"/>
              <w:bidi w:val="0"/>
              <w:adjustRightInd w:val="0"/>
              <w:snapToGrid/>
              <w:spacing w:line="240" w:lineRule="atLeast"/>
              <w:jc w:val="center"/>
              <w:textAlignment w:val="auto"/>
              <w:rPr>
                <w:rFonts w:hint="default" w:ascii="宋体" w:hAnsi="Times New Roman" w:eastAsia="宋体" w:cs="宋体"/>
                <w:color w:val="auto"/>
                <w:sz w:val="20"/>
                <w:szCs w:val="20"/>
                <w:lang w:val="en-US" w:eastAsia="zh-CN"/>
              </w:rPr>
            </w:pPr>
            <w:r>
              <w:rPr>
                <w:rFonts w:hint="eastAsia" w:ascii="宋体" w:hAnsi="Times New Roman" w:eastAsia="宋体" w:cs="宋体"/>
                <w:color w:val="auto"/>
                <w:sz w:val="20"/>
                <w:szCs w:val="20"/>
                <w:lang w:val="en-US" w:eastAsia="zh-CN"/>
              </w:rPr>
              <w:t>2021年应急演练</w:t>
            </w:r>
          </w:p>
        </w:tc>
        <w:tc>
          <w:tcPr>
            <w:tcW w:w="2599" w:type="dxa"/>
            <w:vAlign w:val="center"/>
          </w:tcPr>
          <w:p>
            <w:pPr>
              <w:pStyle w:val="14"/>
              <w:keepNext w:val="0"/>
              <w:keepLines w:val="0"/>
              <w:pageBreakBefore w:val="0"/>
              <w:widowControl w:val="0"/>
              <w:kinsoku/>
              <w:wordWrap/>
              <w:overflowPunct/>
              <w:topLinePunct w:val="0"/>
              <w:autoSpaceDE w:val="0"/>
              <w:autoSpaceDN w:val="0"/>
              <w:bidi w:val="0"/>
              <w:adjustRightInd w:val="0"/>
              <w:snapToGrid/>
              <w:spacing w:line="240" w:lineRule="atLeast"/>
              <w:jc w:val="center"/>
              <w:textAlignment w:val="auto"/>
              <w:rPr>
                <w:rFonts w:hint="default" w:ascii="宋体" w:hAnsi="Times New Roman" w:eastAsia="宋体" w:cs="宋体"/>
                <w:color w:val="auto"/>
                <w:sz w:val="20"/>
                <w:szCs w:val="20"/>
                <w:lang w:val="en-US" w:eastAsia="zh-CN"/>
              </w:rPr>
            </w:pPr>
            <w:r>
              <w:rPr>
                <w:rFonts w:hint="eastAsia" w:ascii="宋体" w:hAnsi="Times New Roman" w:eastAsia="宋体" w:cs="宋体"/>
                <w:color w:val="auto"/>
                <w:sz w:val="20"/>
                <w:szCs w:val="20"/>
                <w:lang w:val="en-US" w:eastAsia="zh-CN"/>
              </w:rPr>
              <w:t>2023年应急演练</w:t>
            </w:r>
          </w:p>
        </w:tc>
        <w:tc>
          <w:tcPr>
            <w:tcW w:w="2117" w:type="dxa"/>
            <w:vAlign w:val="center"/>
          </w:tcPr>
          <w:p>
            <w:pPr>
              <w:pStyle w:val="14"/>
              <w:keepNext w:val="0"/>
              <w:keepLines w:val="0"/>
              <w:pageBreakBefore w:val="0"/>
              <w:widowControl w:val="0"/>
              <w:kinsoku/>
              <w:wordWrap/>
              <w:overflowPunct/>
              <w:topLinePunct w:val="0"/>
              <w:autoSpaceDE w:val="0"/>
              <w:autoSpaceDN w:val="0"/>
              <w:bidi w:val="0"/>
              <w:adjustRightInd w:val="0"/>
              <w:snapToGrid/>
              <w:spacing w:line="240" w:lineRule="atLeast"/>
              <w:jc w:val="center"/>
              <w:textAlignment w:val="auto"/>
              <w:rPr>
                <w:rFonts w:hint="default" w:ascii="宋体" w:hAnsi="Times New Roman" w:eastAsia="宋体" w:cs="宋体"/>
                <w:color w:val="auto"/>
                <w:sz w:val="20"/>
                <w:szCs w:val="20"/>
                <w:lang w:val="en-US" w:eastAsia="zh-CN"/>
              </w:rPr>
            </w:pPr>
            <w:r>
              <w:rPr>
                <w:rFonts w:hint="eastAsia" w:ascii="宋体" w:hAnsi="Times New Roman" w:eastAsia="宋体" w:cs="宋体"/>
                <w:color w:val="auto"/>
                <w:sz w:val="20"/>
                <w:szCs w:val="20"/>
                <w:lang w:val="en-US" w:eastAsia="zh-CN"/>
              </w:rPr>
              <w:t>更新了应急演练</w:t>
            </w:r>
          </w:p>
        </w:tc>
      </w:tr>
      <w:bookmarkEnd w:id="16"/>
      <w:bookmarkEnd w:id="17"/>
    </w:tbl>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1"/>
      </w:rPr>
    </w:pPr>
    <w:r>
      <w:fldChar w:fldCharType="begin"/>
    </w:r>
    <w:r>
      <w:rPr>
        <w:rStyle w:val="11"/>
      </w:rPr>
      <w:instrText xml:space="preserve">PAGE  </w:instrText>
    </w:r>
    <w:r>
      <w:fldChar w:fldCharType="end"/>
    </w:r>
  </w:p>
  <w:p>
    <w:pPr>
      <w:pStyle w:val="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rFonts w:hint="eastAsia"/>
        <w:bCs/>
        <w:lang w:val="en-US" w:eastAsia="zh-CN"/>
      </w:rPr>
      <w:t>江西辙炜新材料</w:t>
    </w:r>
    <w:r>
      <w:rPr>
        <w:rFonts w:hint="eastAsia"/>
        <w:bCs/>
        <w:lang w:eastAsia="zh-CN"/>
      </w:rPr>
      <w:t>科技</w:t>
    </w:r>
    <w:r>
      <w:rPr>
        <w:rFonts w:hint="eastAsia"/>
        <w:bCs/>
        <w:lang w:val="en-US" w:eastAsia="zh-CN"/>
      </w:rPr>
      <w:t>股份</w:t>
    </w:r>
    <w:r>
      <w:rPr>
        <w:rFonts w:hint="eastAsia"/>
        <w:bCs/>
        <w:lang w:eastAsia="zh-CN"/>
      </w:rPr>
      <w:t>有限公司</w:t>
    </w:r>
    <w:r>
      <w:rPr>
        <w:rFonts w:hint="eastAsia"/>
      </w:rPr>
      <w:t>突发环境事件应急预案编制说明（202</w:t>
    </w:r>
    <w:r>
      <w:rPr>
        <w:rFonts w:hint="eastAsia"/>
        <w:lang w:val="en-US" w:eastAsia="zh-CN"/>
      </w:rPr>
      <w:t>3</w:t>
    </w:r>
    <w:r>
      <w:rPr>
        <w:rFonts w:hint="eastAsia"/>
      </w:rPr>
      <w:t>第</w:t>
    </w:r>
    <w:r>
      <w:rPr>
        <w:rFonts w:hint="eastAsia"/>
        <w:lang w:val="en-US" w:eastAsia="zh-CN"/>
      </w:rPr>
      <w:t>三</w:t>
    </w:r>
    <w:r>
      <w:rPr>
        <w:rFonts w:hint="eastAsia"/>
      </w:rPr>
      <w:t>版）</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rFonts w:hint="eastAsia"/>
        <w:bCs/>
        <w:lang w:val="en-US" w:eastAsia="zh-CN"/>
      </w:rPr>
      <w:t>江西辙炜新材料</w:t>
    </w:r>
    <w:r>
      <w:rPr>
        <w:rFonts w:hint="eastAsia"/>
        <w:bCs/>
        <w:lang w:eastAsia="zh-CN"/>
      </w:rPr>
      <w:t>科技</w:t>
    </w:r>
    <w:r>
      <w:rPr>
        <w:rFonts w:hint="eastAsia"/>
        <w:bCs/>
        <w:lang w:val="en-US" w:eastAsia="zh-CN"/>
      </w:rPr>
      <w:t>股份</w:t>
    </w:r>
    <w:r>
      <w:rPr>
        <w:rFonts w:hint="eastAsia"/>
        <w:bCs/>
        <w:lang w:eastAsia="zh-CN"/>
      </w:rPr>
      <w:t>有限公司</w:t>
    </w:r>
    <w:r>
      <w:rPr>
        <w:rFonts w:hint="eastAsia"/>
      </w:rPr>
      <w:t>突发环境事件应急预案编制说明（202</w:t>
    </w:r>
    <w:r>
      <w:rPr>
        <w:rFonts w:hint="eastAsia"/>
        <w:lang w:val="en-US" w:eastAsia="zh-CN"/>
      </w:rPr>
      <w:t>3</w:t>
    </w:r>
    <w:r>
      <w:rPr>
        <w:rFonts w:hint="eastAsia"/>
      </w:rPr>
      <w:t>第</w:t>
    </w:r>
    <w:r>
      <w:rPr>
        <w:rFonts w:hint="eastAsia"/>
        <w:lang w:val="en-US" w:eastAsia="zh-CN"/>
      </w:rPr>
      <w:t>三</w:t>
    </w:r>
    <w:r>
      <w:rPr>
        <w:rFonts w:hint="eastAsia"/>
      </w:rPr>
      <w:t>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M3Nzg0OTA0ZjQ5ZmI2N2FmYTYxMzI1YWVlODA3MGEifQ=="/>
  </w:docVars>
  <w:rsids>
    <w:rsidRoot w:val="00000000"/>
    <w:rsid w:val="037E4FD6"/>
    <w:rsid w:val="266E72DD"/>
    <w:rsid w:val="310F4F49"/>
    <w:rsid w:val="4A4342B6"/>
    <w:rsid w:val="4DB42F75"/>
    <w:rsid w:val="50391E20"/>
    <w:rsid w:val="6A9F76CE"/>
    <w:rsid w:val="734756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napToGrid w:val="0"/>
      <w:spacing w:line="360" w:lineRule="auto"/>
      <w:ind w:firstLine="200" w:firstLineChars="200"/>
      <w:jc w:val="both"/>
    </w:pPr>
    <w:rPr>
      <w:rFonts w:ascii="Times New Roman" w:hAnsi="Times New Roman" w:eastAsia="宋体" w:cs="Times New Roman"/>
      <w:kern w:val="2"/>
      <w:sz w:val="24"/>
      <w:szCs w:val="24"/>
      <w:lang w:val="en-US" w:eastAsia="zh-CN" w:bidi="ar-SA"/>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Indent 2"/>
    <w:basedOn w:val="1"/>
    <w:qFormat/>
    <w:uiPriority w:val="99"/>
    <w:pPr>
      <w:spacing w:after="120" w:line="480" w:lineRule="auto"/>
      <w:ind w:left="200" w:leftChars="200"/>
    </w:pPr>
    <w:rPr>
      <w:rFonts w:ascii="Calibri" w:hAnsi="Calibri" w:cs="Calibri"/>
    </w:rPr>
  </w:style>
  <w:style w:type="paragraph" w:styleId="3">
    <w:name w:val="Body Text"/>
    <w:basedOn w:val="1"/>
    <w:next w:val="1"/>
    <w:qFormat/>
    <w:uiPriority w:val="0"/>
    <w:pPr>
      <w:spacing w:after="120"/>
    </w:pPr>
  </w:style>
  <w:style w:type="paragraph" w:styleId="4">
    <w:name w:val="footer"/>
    <w:basedOn w:val="1"/>
    <w:unhideWhenUsed/>
    <w:qFormat/>
    <w:uiPriority w:val="99"/>
    <w:pPr>
      <w:tabs>
        <w:tab w:val="center" w:pos="4153"/>
        <w:tab w:val="right" w:pos="8306"/>
      </w:tabs>
      <w:jc w:val="left"/>
    </w:pPr>
    <w:rPr>
      <w:sz w:val="18"/>
      <w:szCs w:val="18"/>
    </w:rPr>
  </w:style>
  <w:style w:type="paragraph" w:styleId="5">
    <w:name w:val="header"/>
    <w:basedOn w:val="1"/>
    <w:unhideWhenUsed/>
    <w:qFormat/>
    <w:uiPriority w:val="99"/>
    <w:pPr>
      <w:pBdr>
        <w:bottom w:val="single" w:color="auto" w:sz="6" w:space="1"/>
      </w:pBdr>
      <w:tabs>
        <w:tab w:val="center" w:pos="4153"/>
        <w:tab w:val="right" w:pos="8306"/>
      </w:tabs>
      <w:jc w:val="center"/>
    </w:pPr>
    <w:rPr>
      <w:sz w:val="18"/>
      <w:szCs w:val="18"/>
    </w:rPr>
  </w:style>
  <w:style w:type="paragraph" w:styleId="6">
    <w:name w:val="Normal (Web)"/>
    <w:basedOn w:val="1"/>
    <w:qFormat/>
    <w:uiPriority w:val="99"/>
    <w:pPr>
      <w:spacing w:before="100" w:beforeAutospacing="1" w:after="100" w:afterAutospacing="1"/>
      <w:jc w:val="left"/>
    </w:pPr>
    <w:rPr>
      <w:kern w:val="0"/>
    </w:rPr>
  </w:style>
  <w:style w:type="paragraph" w:styleId="7">
    <w:name w:val="Body Text First Indent"/>
    <w:basedOn w:val="3"/>
    <w:next w:val="1"/>
    <w:qFormat/>
    <w:uiPriority w:val="0"/>
    <w:pPr>
      <w:ind w:firstLine="420" w:firstLineChars="100"/>
    </w:pPr>
    <w:rPr>
      <w:sz w:val="30"/>
      <w:szCs w:val="20"/>
    </w:rPr>
  </w:style>
  <w:style w:type="table" w:styleId="9">
    <w:name w:val="Table Grid"/>
    <w:basedOn w:val="8"/>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1">
    <w:name w:val="page number"/>
    <w:basedOn w:val="10"/>
    <w:qFormat/>
    <w:uiPriority w:val="0"/>
  </w:style>
  <w:style w:type="paragraph" w:customStyle="1" w:styleId="12">
    <w:name w:val="报告正文"/>
    <w:basedOn w:val="1"/>
    <w:qFormat/>
    <w:uiPriority w:val="0"/>
    <w:pPr>
      <w:spacing w:before="50"/>
      <w:ind w:firstLine="540"/>
    </w:pPr>
    <w:rPr>
      <w:rFonts w:eastAsiaTheme="minorEastAsia" w:cstheme="minorBidi"/>
      <w:sz w:val="28"/>
    </w:rPr>
  </w:style>
  <w:style w:type="paragraph" w:customStyle="1" w:styleId="13">
    <w:name w:val="表头"/>
    <w:next w:val="1"/>
    <w:qFormat/>
    <w:uiPriority w:val="99"/>
    <w:pPr>
      <w:spacing w:beforeLines="50"/>
      <w:jc w:val="center"/>
    </w:pPr>
    <w:rPr>
      <w:rFonts w:asciiTheme="minorHAnsi" w:hAnsiTheme="minorHAnsi" w:eastAsiaTheme="minorEastAsia" w:cstheme="minorBidi"/>
      <w:b/>
      <w:bCs/>
      <w:kern w:val="2"/>
      <w:sz w:val="24"/>
      <w:szCs w:val="24"/>
      <w:lang w:val="en-US" w:eastAsia="zh-CN" w:bidi="ar-SA"/>
    </w:rPr>
  </w:style>
  <w:style w:type="paragraph" w:customStyle="1" w:styleId="14">
    <w:name w:val="Default1"/>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
    <w:name w:val="表内容"/>
    <w:basedOn w:val="1"/>
    <w:qFormat/>
    <w:uiPriority w:val="0"/>
    <w:pPr>
      <w:widowControl/>
      <w:adjustRightInd w:val="0"/>
      <w:snapToGrid w:val="0"/>
      <w:spacing w:line="240" w:lineRule="auto"/>
      <w:ind w:firstLine="0" w:firstLineChars="0"/>
      <w:jc w:val="center"/>
    </w:pPr>
    <w:rPr>
      <w:rFonts w:cs="仿宋_GB2312"/>
      <w:color w:val="000000"/>
      <w:spacing w:val="5"/>
      <w:kern w:val="44"/>
      <w:sz w:val="21"/>
      <w:szCs w:val="21"/>
      <w:lang w:val="zh-CN"/>
    </w:rPr>
  </w:style>
  <w:style w:type="paragraph" w:customStyle="1" w:styleId="16">
    <w:name w:val="表中字"/>
    <w:qFormat/>
    <w:uiPriority w:val="0"/>
    <w:pPr>
      <w:jc w:val="center"/>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85</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2023-11-21T06:22:00Z</dcterms:created>
  <dc:creator>Administrator</dc:creator>
  <cp:lastModifiedBy>沒有理由不坚强</cp:lastModifiedBy>
  <cp:lastPrinted>2023-12-01T09:16:00Z</cp:lastPrinted>
  <dcterms:modified xsi:type="dcterms:W3CDTF">2023-12-14T09:57:43Z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5F37FFD0D5B54CF99809888EEFECA54C_12</vt:lpwstr>
  </property>
</Properties>
</file>